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cs="Times New Roman"/>
          <w:b/>
          <w:bCs/>
          <w:sz w:val="24"/>
          <w:szCs w:val="24"/>
          <w:lang w:val="en-US"/>
        </w:rPr>
      </w:pPr>
    </w:p>
    <w:p>
      <w:pPr>
        <w:numPr>
          <w:numId w:val="0"/>
        </w:numPr>
        <w:spacing w:line="360" w:lineRule="auto"/>
        <w:ind w:leftChars="0"/>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Name of the researcher:</w:t>
      </w:r>
    </w:p>
    <w:p>
      <w:pPr>
        <w:numPr>
          <w:numId w:val="0"/>
        </w:numPr>
        <w:spacing w:line="360" w:lineRule="auto"/>
        <w:ind w:leftChars="0"/>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Evelyn Kawira Majau</w:t>
      </w:r>
    </w:p>
    <w:p>
      <w:pPr>
        <w:numPr>
          <w:numId w:val="0"/>
        </w:numPr>
        <w:spacing w:line="360" w:lineRule="auto"/>
        <w:ind w:leftChars="0"/>
        <w:rPr>
          <w:rFonts w:hint="default" w:ascii="Times New Roman" w:hAnsi="Times New Roman" w:cs="Times New Roman"/>
          <w:b w:val="0"/>
          <w:bCs w:val="0"/>
          <w:sz w:val="24"/>
          <w:szCs w:val="24"/>
          <w:lang w:val="en-US"/>
        </w:rPr>
      </w:pPr>
    </w:p>
    <w:p>
      <w:pPr>
        <w:numPr>
          <w:ilvl w:val="0"/>
          <w:numId w:val="0"/>
        </w:numPr>
        <w:spacing w:line="360" w:lineRule="auto"/>
        <w:ind w:leftChars="0"/>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Name of the supervisor:</w:t>
      </w:r>
    </w:p>
    <w:p>
      <w:pPr>
        <w:numPr>
          <w:numId w:val="0"/>
        </w:numPr>
        <w:spacing w:line="360" w:lineRule="auto"/>
        <w:ind w:leftChars="0"/>
        <w:rPr>
          <w:rFonts w:hint="default" w:ascii="Times New Roman" w:hAnsi="Times New Roman" w:cs="Times New Roman"/>
          <w:b w:val="0"/>
          <w:bCs w:val="0"/>
          <w:sz w:val="24"/>
          <w:szCs w:val="24"/>
          <w:lang w:val="en-US"/>
        </w:rPr>
      </w:pPr>
    </w:p>
    <w:p>
      <w:pPr>
        <w:numPr>
          <w:numId w:val="0"/>
        </w:numPr>
        <w:spacing w:line="360" w:lineRule="auto"/>
        <w:ind w:leftChars="0"/>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Provisional research question:</w:t>
      </w:r>
    </w:p>
    <w:p>
      <w:pPr>
        <w:spacing w:line="360" w:lineRule="auto"/>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What are the predictors of blood pressure control among patients attending a rural health facility in kenya.</w:t>
      </w:r>
    </w:p>
    <w:p>
      <w:pPr>
        <w:numPr>
          <w:numId w:val="0"/>
        </w:numPr>
        <w:spacing w:line="360" w:lineRule="auto"/>
        <w:ind w:leftChars="0"/>
        <w:rPr>
          <w:rFonts w:hint="default" w:ascii="Times New Roman" w:hAnsi="Times New Roman" w:cs="Times New Roman"/>
          <w:b/>
          <w:bCs/>
          <w:sz w:val="24"/>
          <w:szCs w:val="24"/>
          <w:lang w:val="en-US"/>
        </w:rPr>
      </w:pPr>
    </w:p>
    <w:p>
      <w:pPr>
        <w:numPr>
          <w:numId w:val="0"/>
        </w:numPr>
        <w:spacing w:line="360" w:lineRule="auto"/>
        <w:ind w:leftChars="0"/>
        <w:rPr>
          <w:rFonts w:hint="default" w:ascii="Times New Roman" w:hAnsi="Times New Roman" w:cs="Times New Roman"/>
          <w:b w:val="0"/>
          <w:bCs w:val="0"/>
          <w:sz w:val="24"/>
          <w:szCs w:val="24"/>
          <w:lang w:val="en-US"/>
        </w:rPr>
      </w:pPr>
      <w:r>
        <w:rPr>
          <w:rFonts w:hint="default" w:ascii="Times New Roman" w:hAnsi="Times New Roman" w:cs="Times New Roman"/>
          <w:b/>
          <w:bCs/>
          <w:sz w:val="24"/>
          <w:szCs w:val="24"/>
          <w:lang w:val="en-US"/>
        </w:rPr>
        <w:t>Background:</w:t>
      </w:r>
    </w:p>
    <w:p>
      <w:pPr>
        <w:pStyle w:val="2"/>
        <w:spacing w:before="0" w:after="0" w:line="360" w:lineRule="auto"/>
        <w:jc w:val="left"/>
        <w:rPr>
          <w:rFonts w:hint="default" w:ascii="Times New Roman" w:hAnsi="Times New Roman" w:cs="Times New Roman"/>
          <w:b/>
          <w:bCs/>
          <w:sz w:val="24"/>
          <w:szCs w:val="24"/>
        </w:rPr>
      </w:pPr>
      <w:r>
        <w:rPr>
          <w:rFonts w:hint="default" w:ascii="Times New Roman" w:hAnsi="Times New Roman" w:cs="Times New Roman"/>
          <w:b/>
          <w:bCs/>
          <w:sz w:val="24"/>
          <w:szCs w:val="24"/>
        </w:rPr>
        <w:t>Introduction</w:t>
      </w:r>
    </w:p>
    <w:p>
      <w:pPr>
        <w:spacing w:line="360" w:lineRule="auto"/>
        <w:rPr>
          <w:rFonts w:hint="default" w:ascii="Times New Roman" w:hAnsi="Times New Roman" w:eastAsia="Georgia" w:cs="Times New Roman"/>
          <w:color w:val="2E2E2E"/>
          <w:sz w:val="24"/>
          <w:szCs w:val="24"/>
        </w:rPr>
      </w:pPr>
      <w:r>
        <w:rPr>
          <w:rFonts w:hint="default" w:ascii="Times New Roman" w:hAnsi="Times New Roman" w:cs="Times New Roman"/>
          <w:sz w:val="24"/>
          <w:szCs w:val="24"/>
        </w:rPr>
        <w:t>Estimates suggest that 1.13 billion people Worldwide have hypertension, most of whom (two-thirds) live in the low- and middle-income countries, with one in four men and one in five women having hypertension in 2015 (</w:t>
      </w:r>
      <w:r>
        <w:rPr>
          <w:rFonts w:hint="default" w:ascii="Times New Roman" w:hAnsi="Times New Roman" w:cs="Times New Roman"/>
          <w:sz w:val="24"/>
          <w:szCs w:val="24"/>
          <w:lang w:val="en-US"/>
        </w:rPr>
        <w:t>Mills et al., 2016</w:t>
      </w:r>
      <w:r>
        <w:rPr>
          <w:rFonts w:hint="default" w:ascii="Times New Roman" w:hAnsi="Times New Roman" w:cs="Times New Roman"/>
          <w:sz w:val="24"/>
          <w:szCs w:val="24"/>
        </w:rPr>
        <w:t xml:space="preserve">). Hypertension is projected to rise to </w:t>
      </w:r>
      <w:r>
        <w:rPr>
          <w:rFonts w:hint="default" w:ascii="Times New Roman" w:hAnsi="Times New Roman" w:eastAsia="Georgia" w:cs="Times New Roman"/>
          <w:color w:val="2E2E2E"/>
          <w:sz w:val="24"/>
          <w:szCs w:val="24"/>
        </w:rPr>
        <w:t>29% by 2025 (29% males and 30% females). Overall, about 1.56 billion adults will have hypertension by 2025, this will account for a 60% increase (Mills et al</w:t>
      </w:r>
      <w:r>
        <w:rPr>
          <w:rFonts w:hint="default" w:ascii="Times New Roman" w:hAnsi="Times New Roman" w:eastAsia="Georgia" w:cs="Times New Roman"/>
          <w:color w:val="2E2E2E"/>
          <w:sz w:val="24"/>
          <w:szCs w:val="24"/>
          <w:lang w:val="en-US"/>
        </w:rPr>
        <w:t>.</w:t>
      </w:r>
      <w:r>
        <w:rPr>
          <w:rFonts w:hint="default" w:ascii="Times New Roman" w:hAnsi="Times New Roman" w:eastAsia="Georgia" w:cs="Times New Roman"/>
          <w:color w:val="2E2E2E"/>
          <w:sz w:val="24"/>
          <w:szCs w:val="24"/>
        </w:rPr>
        <w:t>, 2020).</w:t>
      </w:r>
    </w:p>
    <w:p>
      <w:pPr>
        <w:spacing w:line="360" w:lineRule="auto"/>
        <w:rPr>
          <w:rFonts w:hint="default" w:ascii="Times New Roman" w:hAnsi="Times New Roman" w:cs="Times New Roman"/>
          <w:color w:val="000000"/>
          <w:sz w:val="24"/>
          <w:szCs w:val="24"/>
          <w:shd w:val="clear" w:color="auto" w:fill="FFFFFF"/>
        </w:rPr>
      </w:pPr>
      <w:r>
        <w:rPr>
          <w:rFonts w:hint="default" w:ascii="Times New Roman" w:hAnsi="Times New Roman" w:cs="Times New Roman"/>
          <w:color w:val="000000"/>
          <w:sz w:val="24"/>
          <w:szCs w:val="24"/>
        </w:rPr>
        <w:t>Hypertension being a global phenomenon, affects</w:t>
      </w:r>
      <w:r>
        <w:rPr>
          <w:rFonts w:hint="default" w:ascii="Times New Roman" w:hAnsi="Times New Roman" w:eastAsia="Times New Roman" w:cs="Times New Roman"/>
          <w:color w:val="000000"/>
          <w:sz w:val="24"/>
          <w:szCs w:val="24"/>
        </w:rPr>
        <w:t xml:space="preserve"> approximately 970 million people in developing and developed countries </w:t>
      </w:r>
      <w:r>
        <w:rPr>
          <w:rFonts w:hint="default" w:ascii="Times New Roman" w:hAnsi="Times New Roman" w:eastAsia="Times New Roman" w:cs="Times New Roman"/>
          <w:color w:val="000000"/>
          <w:sz w:val="24"/>
          <w:szCs w:val="24"/>
        </w:rPr>
        <w:fldChar w:fldCharType="begin" w:fldLock="1"/>
      </w:r>
      <w:r>
        <w:rPr>
          <w:rFonts w:hint="default" w:ascii="Times New Roman" w:hAnsi="Times New Roman" w:eastAsia="Times New Roman" w:cs="Times New Roman"/>
          <w:color w:val="000000"/>
          <w:sz w:val="24"/>
          <w:szCs w:val="24"/>
        </w:rPr>
        <w:instrText xml:space="preserve">ADDIN CSL_CITATION {"citationItems":[{"id":"ITEM-1","itemData":{"DOI":"10.1038/jhh.2016.24","ISSN":"0950-9240","author":[{"dropping-particle":"","family":"Chen","given":"Y Y","non-dropping-particle":"","parse-names":false,"suffix":""},{"dropping-particle":"","family":"Liu","given":"D","non-dropping-particle":"","parse-names":false,"suffix":""},{"dropping-particle":"","family":"Zhang","given":"P","non-dropping-particle":"","parse-names":false,"suffix":""},{"dropping-particle":"","family":"Zhong","given":"J C","non-dropping-particle":"","parse-names":false,"suffix":""},{"dropping-particle":"","family":"Zhang","given":"C J","non-dropping-particle":"","parse-names":false,"suffix":""},{"dropping-particle":"","family":"Wu","given":"S L","non-dropping-particle":"","parse-names":false,"suffix":""},{"dropping-particle":"","family":"Zhang","given":"Y Q","non-dropping-particle":"","parse-names":false,"suffix":""},{"dropping-particle":"","family":"Liu","given":"G Z","non-dropping-particle":"","parse-names":false,"suffix":""},{"dropping-particle":"","family":"He","given":"M","non-dropping-particle":"","parse-names":false,"suffix":""},{"dropping-particle":"","family":"Jin","given":"L J","non-dropping-particle":"","parse-names":false,"suffix":""},{"dropping-particle":"","family":"Yu","given":"H M","non-dropping-particle":"","parse-names":false,"suffix":""}],"container-title":"Journal of Human Hypertension","id":"ITEM-1","issue":"12","issued":{"date-parts":[["2016","12","28"]]},"page":"766-771","publisher":"Nature Publishing Group","title":"Impact of ACE2 gene polymorphism on antihypertensive efficacy of ACE inhibitors","type":"article-journal","volume":"30"},"uris":["http://www.mendeley.com/documents/?uuid=64cd70ea-a19b-3bce-8b3d-3cab7aed95f7"]}],"mendeley":{"formattedCitation":"(Y. Y. Chen et al., 2016)","manualFormatting":"(Chen et al., 2016)","plainTextFormattedCitation":"(Y. Y. Chen et al., 2016)","previouslyFormattedCitation":"(Y. Y. Chen et al., 2016)"},"properties":{"noteIndex":0},"schema":"https://github.com/citation-style-language/schema/raw/master/csl-citation.json"}</w:instrText>
      </w:r>
      <w:r>
        <w:rPr>
          <w:rFonts w:hint="default" w:ascii="Times New Roman" w:hAnsi="Times New Roman" w:eastAsia="Times New Roman" w:cs="Times New Roman"/>
          <w:color w:val="000000"/>
          <w:sz w:val="24"/>
          <w:szCs w:val="24"/>
        </w:rPr>
        <w:fldChar w:fldCharType="separate"/>
      </w:r>
      <w:r>
        <w:rPr>
          <w:rFonts w:hint="default" w:ascii="Times New Roman" w:hAnsi="Times New Roman" w:eastAsia="Times New Roman" w:cs="Times New Roman"/>
          <w:color w:val="000000"/>
          <w:sz w:val="24"/>
          <w:szCs w:val="24"/>
        </w:rPr>
        <w:t>(Chen et al., 2016)</w:t>
      </w:r>
      <w:r>
        <w:rPr>
          <w:rFonts w:hint="default" w:ascii="Times New Roman" w:hAnsi="Times New Roman" w:eastAsia="Times New Roman" w:cs="Times New Roman"/>
          <w:color w:val="000000"/>
          <w:sz w:val="24"/>
          <w:szCs w:val="24"/>
        </w:rPr>
        <w:fldChar w:fldCharType="end"/>
      </w:r>
      <w:r>
        <w:rPr>
          <w:rFonts w:hint="default" w:ascii="Times New Roman" w:hAnsi="Times New Roman" w:eastAsia="Times New Roman" w:cs="Times New Roman"/>
          <w:color w:val="000000"/>
          <w:sz w:val="24"/>
          <w:szCs w:val="24"/>
        </w:rPr>
        <w:t xml:space="preserve">. </w:t>
      </w:r>
      <w:r>
        <w:rPr>
          <w:rFonts w:hint="default" w:ascii="Times New Roman" w:hAnsi="Times New Roman" w:cs="Times New Roman"/>
          <w:color w:val="000000"/>
          <w:sz w:val="24"/>
          <w:szCs w:val="24"/>
        </w:rPr>
        <w:t>A study by Ataklte et al</w:t>
      </w:r>
      <w:r>
        <w:rPr>
          <w:rFonts w:hint="default" w:ascii="Times New Roman" w:hAnsi="Times New Roman" w:cs="Times New Roman"/>
          <w:color w:val="000000"/>
          <w:sz w:val="24"/>
          <w:szCs w:val="24"/>
          <w:lang w:val="en-US"/>
        </w:rPr>
        <w:t>,</w:t>
      </w:r>
      <w:r>
        <w:rPr>
          <w:rFonts w:hint="default" w:ascii="Times New Roman" w:hAnsi="Times New Roman" w:cs="Times New Roman"/>
          <w:color w:val="000000"/>
          <w:sz w:val="24"/>
          <w:szCs w:val="24"/>
        </w:rPr>
        <w:t xml:space="preserve"> in sub-Saharan Africa demonstrated that th</w:t>
      </w:r>
      <w:r>
        <w:rPr>
          <w:rFonts w:hint="default" w:ascii="Times New Roman" w:hAnsi="Times New Roman" w:cs="Times New Roman"/>
          <w:color w:val="000000"/>
          <w:sz w:val="24"/>
          <w:szCs w:val="24"/>
          <w:shd w:val="clear" w:color="auto" w:fill="FFFFFF"/>
        </w:rPr>
        <w:t xml:space="preserve">e expected prevalence of hypertension for participants aged 30, 40, 50, and 60 years was 16%, 26%, 35%, and 44% respectively, this accounted for a pooled prevalence of 30% </w:t>
      </w:r>
      <w:r>
        <w:rPr>
          <w:rFonts w:hint="default" w:ascii="Times New Roman" w:hAnsi="Times New Roman" w:cs="Times New Roman"/>
          <w:color w:val="000000"/>
          <w:sz w:val="24"/>
          <w:szCs w:val="24"/>
          <w:shd w:val="clear" w:color="auto" w:fill="FFFFFF"/>
        </w:rPr>
        <w:fldChar w:fldCharType="begin" w:fldLock="1"/>
      </w:r>
      <w:r>
        <w:rPr>
          <w:rFonts w:hint="default" w:ascii="Times New Roman" w:hAnsi="Times New Roman" w:cs="Times New Roman"/>
          <w:color w:val="000000"/>
          <w:sz w:val="24"/>
          <w:szCs w:val="24"/>
          <w:shd w:val="clear" w:color="auto" w:fill="FFFFFF"/>
        </w:rPr>
        <w:instrText xml:space="preserve">ADDIN CSL_CITATION {"citationItems":[{"id":"ITEM-1","itemData":{"DOI":"10.1136/heartjnl-2015-308066.147","ISSN":"1355-6037","abstract":"The burden of hypertension in Sub-Saharan Africa has been increasing over the past few decades. However, a large proportion of the population with hypertension remains undiagnosed, untreated, or inadequately treated, contributing to the rising burden of cardiovascular disease in the region. We conducted a systematic review and meta-analysis to assess the recent burden of hypertension in Sub-Saharan Africa, based on studies published between 2000 and 2013. We pooled data from 33 surveys involving over 110 414 participants of mean age 40 years. Hypertension prevalence varied widely across the studies (range 15%–70%), partly because of differences in participant mean ages (31–76 years). The predicted prevalence of hypertension at mean participant ages of 30, 40, 50, and 60 years were 16%, 26%, 35%, and 44%, respectively, with a pooled prevalence of 30% (95% confidence interval, 27%–34%). Of those with hypertension, only between 7% and 56% (pooled prevalence: 27%; 95% confidence interval, 23%–31%) were aware of their hypertensive status before the surveys. Overall, 18% (95% confidence interval, 14%–22%) of individuals with hypertension were receiving treatment across the studies, and only 7% (95% confidence interval, 5%–8%) had controlled blood pressure.\n\nThis review found a high prevalence of hypertension, as well as low percentage of hypertension awareness, treatment, and control in Sub-Saharan Africa, highlighting the need for implementation of timely and appropriate strategies for diagnosis, control, and prevention.\n\n![Abstract 147 Figure 1][1]&lt;/img&gt;\n\nAbstract 147 Figure 1 \nPrevalence of hypertension awareness among hypertensive individuals\n\n [1]: pending:yes","author":[{"dropping-particle":"","family":"Ataklte","given":"Feven","non-dropping-particle":"","parse-names":false,"suffix":""},{"dropping-particle":"","family":"Erqou","given":"Sebhat","non-dropping-particle":"","parse-names":false,"suffix":""},{"dropping-particle":"","family":"Kaptoge","given":"Stephen","non-dropping-particle":"","parse-names":false,"suffix":""}],"container-title":"Heart","id":"ITEM-1","issue":"Suppl 4","issued":{"date-parts":[["2015","6","6"]]},"page":"A84.2-A84","publisher":"BMJ Publishing Group Ltd and British Cardiovascular Society","title":"147 Burden of Undiagnosed Hypertension in Sub-Saharan Africa: A Systematic Review and Meta-Analysis","type":"article-journal","volume":"101"},"uris":["http://www.mendeley.com/documents/?uuid=f6a348f6-3c3d-3223-92c0-d9c78c350b8d"]}],"mendeley":{"formattedCitation":"(Ataklte, Erqou, &amp; Kaptoge, 2015)","manualFormatting":"(Ataklte et al, 2015)","plainTextFormattedCitation":"(Ataklte, Erqou, &amp; Kaptoge, 2015)","previouslyFormattedCitation":"(Ataklte, Erqou, &amp; Kaptoge, 2015)"},"properties":{"noteIndex":0},"schema":"https://github.com/citation-style-language/schema/raw/master/csl-citation.json"}</w:instrText>
      </w:r>
      <w:r>
        <w:rPr>
          <w:rFonts w:hint="default" w:ascii="Times New Roman" w:hAnsi="Times New Roman" w:cs="Times New Roman"/>
          <w:color w:val="000000"/>
          <w:sz w:val="24"/>
          <w:szCs w:val="24"/>
          <w:shd w:val="clear" w:color="auto" w:fill="FFFFFF"/>
        </w:rPr>
        <w:fldChar w:fldCharType="separate"/>
      </w:r>
      <w:r>
        <w:rPr>
          <w:rFonts w:hint="default" w:ascii="Times New Roman" w:hAnsi="Times New Roman" w:cs="Times New Roman"/>
          <w:color w:val="000000"/>
          <w:sz w:val="24"/>
          <w:szCs w:val="24"/>
          <w:shd w:val="clear" w:color="auto" w:fill="FFFFFF"/>
        </w:rPr>
        <w:t>(</w:t>
      </w:r>
      <w:r>
        <w:rPr>
          <w:rFonts w:hint="default" w:ascii="Times New Roman" w:hAnsi="Times New Roman" w:cs="Times New Roman"/>
          <w:color w:val="000000"/>
          <w:sz w:val="24"/>
          <w:szCs w:val="24"/>
          <w:shd w:val="clear" w:color="auto" w:fill="FFFFFF"/>
        </w:rPr>
        <w:fldChar w:fldCharType="begin" w:fldLock="1"/>
      </w:r>
      <w:r>
        <w:rPr>
          <w:rFonts w:hint="default" w:ascii="Times New Roman" w:hAnsi="Times New Roman" w:cs="Times New Roman"/>
          <w:color w:val="000000"/>
          <w:sz w:val="24"/>
          <w:szCs w:val="24"/>
          <w:shd w:val="clear" w:color="auto" w:fill="FFFFFF"/>
        </w:rPr>
        <w:instrText xml:space="preserve">ADDIN CSL_CITATION {"citationItems":[{"id":"ITEM-1","itemData":{"DOI":"10.1136/heartjnl-2015-308066.147","ISSN":"1355-6037","abstract":"The burden of hypertension in Sub-Saharan Africa has been increasing over the past few decades. However, a large proportion of the population with hypertension remains undiagnosed, untreated, or inadequately treated, contributing to the rising burden of cardiovascular disease in the region. We conducted a systematic review and meta-analysis to assess the recent burden of hypertension in Sub-Saharan Africa, based on studies published between 2000 and 2013. We pooled data from 33 surveys involving over 110 414 participants of mean age 40 years. Hypertension prevalence varied widely across the studies (range 15%–70%), partly because of differences in participant mean ages (31–76 years). The predicted prevalence of hypertension at mean participant ages of 30, 40, 50, and 60 years were 16%, 26%, 35%, and 44%, respectively, with a pooled prevalence of 30% (95% confidence interval, 27%–34%). Of those with hypertension, only between 7% and 56% (pooled prevalence: 27%; 95% confidence interval, 23%–31%) were aware of their hypertensive status before the surveys. Overall, 18% (95% confidence interval, 14%–22%) of individuals with hypertension were receiving treatment across the studies, and only 7% (95% confidence interval, 5%–8%) had controlled blood pressure.\n\nThis review found a high prevalence of hypertension, as well as low percentage of hypertension awareness, treatment, and control in Sub-Saharan Africa, highlighting the need for implementation of timely and appropriate strategies for diagnosis, control, and prevention.\n\n![Abstract 147 Figure 1][1]&lt;/img&gt;\n\nAbstract 147 Figure 1 \nPrevalence of hypertension awareness among hypertensive individuals\n\n [1]: pending:yes","author":[{"dropping-particle":"","family":"Ataklte","given":"Feven","non-dropping-particle":"","parse-names":false,"suffix":""},{"dropping-particle":"","family":"Erqou","given":"Sebhat","non-dropping-particle":"","parse-names":false,"suffix":""},{"dropping-particle":"","family":"Kaptoge","given":"Stephen","non-dropping-particle":"","parse-names":false,"suffix":""}],"container-title":"Heart","id":"ITEM-1","issue":"Suppl 4","issued":{"date-parts":[["2015","6","6"]]},"page":"A84.2-A84","publisher":"BMJ Publishing Group Ltd and British Cardiovascular Society","title":"147 Burden of Undiagnosed Hypertension in Sub-Saharan Africa: A Systematic Review and Meta-Analysis","type":"article-journal","volume":"101"},"uris":["http://www.mendeley.com/documents/?uuid=f6a348f6-3c3d-3223-92c0-d9c78c350b8d"]}],"mendeley":{"formattedCitation":"(Ataklte, Erqou, &amp; Kaptoge, 2015)","manualFormatting":"(Ataklte et al, 2015)","plainTextFormattedCitation":"(Ataklte, Erqou, &amp; Kaptoge, 2015)","previouslyFormattedCitation":"(Ataklte, Erqou, &amp; Kaptoge, 2015)"},"properties":{"noteIndex":0},"schema":"https://github.com/citation-style-language/schema/raw/master/csl-citation.json"}</w:instrText>
      </w:r>
      <w:r>
        <w:rPr>
          <w:rFonts w:hint="default" w:ascii="Times New Roman" w:hAnsi="Times New Roman" w:cs="Times New Roman"/>
          <w:color w:val="000000"/>
          <w:sz w:val="24"/>
          <w:szCs w:val="24"/>
          <w:shd w:val="clear" w:color="auto" w:fill="FFFFFF"/>
        </w:rPr>
        <w:fldChar w:fldCharType="separate"/>
      </w:r>
      <w:r>
        <w:rPr>
          <w:rFonts w:hint="default" w:ascii="Times New Roman" w:hAnsi="Times New Roman" w:cs="Times New Roman"/>
          <w:sz w:val="24"/>
          <w:szCs w:val="24"/>
        </w:rPr>
        <w:t>Ataklte, Erqou, &amp; Kaptoge</w:t>
      </w:r>
      <w:r>
        <w:rPr>
          <w:rFonts w:hint="default" w:ascii="Times New Roman" w:hAnsi="Times New Roman" w:cs="Times New Roman"/>
          <w:sz w:val="24"/>
          <w:szCs w:val="24"/>
          <w:lang w:val="en-US"/>
        </w:rPr>
        <w:t>.</w:t>
      </w:r>
      <w:r>
        <w:rPr>
          <w:rFonts w:hint="default" w:ascii="Times New Roman" w:hAnsi="Times New Roman" w:cs="Times New Roman"/>
          <w:sz w:val="24"/>
          <w:szCs w:val="24"/>
        </w:rPr>
        <w:t>, 2015)</w:t>
      </w:r>
      <w:r>
        <w:rPr>
          <w:rFonts w:hint="default" w:ascii="Times New Roman" w:hAnsi="Times New Roman" w:cs="Times New Roman"/>
          <w:color w:val="000000"/>
          <w:sz w:val="24"/>
          <w:szCs w:val="24"/>
          <w:shd w:val="clear" w:color="auto" w:fill="FFFFFF"/>
        </w:rPr>
        <w:fldChar w:fldCharType="end"/>
      </w:r>
      <w:r>
        <w:rPr>
          <w:rFonts w:hint="default" w:ascii="Times New Roman" w:hAnsi="Times New Roman" w:cs="Times New Roman"/>
          <w:color w:val="000000"/>
          <w:sz w:val="24"/>
          <w:szCs w:val="24"/>
          <w:shd w:val="clear" w:color="auto" w:fill="FFFFFF"/>
        </w:rPr>
        <w:t>.</w:t>
      </w:r>
      <w:r>
        <w:rPr>
          <w:rFonts w:hint="default" w:ascii="Times New Roman" w:hAnsi="Times New Roman" w:cs="Times New Roman"/>
          <w:color w:val="000000"/>
          <w:sz w:val="24"/>
          <w:szCs w:val="24"/>
          <w:shd w:val="clear" w:color="auto" w:fill="FFFFFF"/>
        </w:rPr>
        <w:fldChar w:fldCharType="end"/>
      </w:r>
    </w:p>
    <w:p>
      <w:pPr>
        <w:numPr>
          <w:ilvl w:val="0"/>
          <w:numId w:val="0"/>
        </w:numPr>
        <w:spacing w:line="360" w:lineRule="auto"/>
        <w:ind w:leftChars="0"/>
        <w:rPr>
          <w:rFonts w:hint="default" w:ascii="Times New Roman" w:hAnsi="Times New Roman" w:cs="Times New Roman"/>
          <w:color w:val="000000"/>
          <w:sz w:val="24"/>
          <w:szCs w:val="24"/>
        </w:rPr>
      </w:pPr>
      <w:r>
        <w:rPr>
          <w:rFonts w:hint="default" w:ascii="Times New Roman" w:hAnsi="Times New Roman" w:cs="Times New Roman"/>
          <w:b w:val="0"/>
          <w:bCs w:val="0"/>
          <w:sz w:val="24"/>
          <w:szCs w:val="24"/>
          <w:lang w:val="en-US"/>
        </w:rPr>
        <w:t>It has been estimated that more than one quarter of people living in Kenya have high blood pressure and the blood pressure control remains suboptimal.</w:t>
      </w:r>
    </w:p>
    <w:p>
      <w:pPr>
        <w:spacing w:line="360" w:lineRule="auto"/>
        <w:rPr>
          <w:rFonts w:hint="default" w:ascii="Times New Roman" w:hAnsi="Times New Roman" w:cs="Times New Roman"/>
          <w:color w:val="000000"/>
          <w:sz w:val="24"/>
          <w:szCs w:val="24"/>
        </w:rPr>
      </w:pPr>
    </w:p>
    <w:p>
      <w:pPr>
        <w:spacing w:line="360" w:lineRule="auto"/>
        <w:rPr>
          <w:rFonts w:hint="default" w:ascii="Times New Roman" w:hAnsi="Times New Roman" w:cs="Times New Roman"/>
          <w:b/>
          <w:color w:val="000000"/>
          <w:sz w:val="24"/>
          <w:szCs w:val="24"/>
        </w:rPr>
      </w:pPr>
      <w:r>
        <w:rPr>
          <w:rFonts w:hint="default" w:ascii="Times New Roman" w:hAnsi="Times New Roman" w:cs="Times New Roman"/>
          <w:b/>
          <w:color w:val="000000"/>
          <w:sz w:val="24"/>
          <w:szCs w:val="24"/>
        </w:rPr>
        <w:t>There are two types of hypertension:</w:t>
      </w:r>
    </w:p>
    <w:p>
      <w:pPr>
        <w:spacing w:line="360" w:lineRule="auto"/>
        <w:rPr>
          <w:rFonts w:hint="default" w:ascii="Times New Roman" w:hAnsi="Times New Roman" w:cs="Times New Roman"/>
          <w:b/>
          <w:color w:val="000000"/>
          <w:sz w:val="24"/>
          <w:szCs w:val="24"/>
        </w:rPr>
      </w:pPr>
    </w:p>
    <w:p>
      <w:pPr>
        <w:spacing w:line="360" w:lineRule="auto"/>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 xml:space="preserve">Primary hypertension also called essential hypertension </w:t>
      </w:r>
      <w:r>
        <w:rPr>
          <w:rFonts w:hint="default" w:ascii="Times New Roman" w:hAnsi="Times New Roman" w:cs="Times New Roman"/>
          <w:color w:val="000000"/>
          <w:sz w:val="24"/>
          <w:szCs w:val="24"/>
          <w:highlight w:val="none"/>
          <w:lang w:val="en-US"/>
        </w:rPr>
        <w:t xml:space="preserve">is defined as high blood pressure in which secondary causes of hypertension such as phaechromocytoma, renal failure or other causes of secondary hypertension are absent and </w:t>
      </w:r>
      <w:r>
        <w:rPr>
          <w:rFonts w:hint="default" w:ascii="Times New Roman" w:hAnsi="Times New Roman" w:cs="Times New Roman"/>
          <w:color w:val="000000"/>
          <w:sz w:val="24"/>
          <w:szCs w:val="24"/>
          <w:highlight w:val="none"/>
        </w:rPr>
        <w:t xml:space="preserve">accounts for about </w:t>
      </w:r>
      <w:r>
        <w:rPr>
          <w:rFonts w:hint="default" w:ascii="Times New Roman" w:hAnsi="Times New Roman" w:cs="Times New Roman"/>
          <w:color w:val="000000"/>
          <w:sz w:val="24"/>
          <w:szCs w:val="24"/>
          <w:highlight w:val="none"/>
          <w:lang w:val="en-US"/>
        </w:rPr>
        <w:t>9</w:t>
      </w:r>
      <w:r>
        <w:rPr>
          <w:rFonts w:hint="default" w:ascii="Times New Roman" w:hAnsi="Times New Roman" w:cs="Times New Roman"/>
          <w:color w:val="000000"/>
          <w:sz w:val="24"/>
          <w:szCs w:val="24"/>
          <w:highlight w:val="none"/>
        </w:rPr>
        <w:t>0</w:t>
      </w:r>
      <w:r>
        <w:rPr>
          <w:rFonts w:hint="default" w:ascii="Times New Roman" w:hAnsi="Times New Roman" w:cs="Times New Roman"/>
          <w:color w:val="000000"/>
          <w:sz w:val="24"/>
          <w:szCs w:val="24"/>
          <w:highlight w:val="none"/>
          <w:lang w:val="en-US"/>
        </w:rPr>
        <w:t xml:space="preserve"> to 95</w:t>
      </w:r>
      <w:r>
        <w:rPr>
          <w:rFonts w:hint="default" w:ascii="Times New Roman" w:hAnsi="Times New Roman" w:cs="Times New Roman"/>
          <w:color w:val="000000"/>
          <w:sz w:val="24"/>
          <w:szCs w:val="24"/>
          <w:highlight w:val="none"/>
        </w:rPr>
        <w:t xml:space="preserve">% of hypertension whereas, </w:t>
      </w:r>
      <w:r>
        <w:rPr>
          <w:rFonts w:hint="default" w:ascii="Times New Roman" w:hAnsi="Times New Roman" w:cs="Times New Roman"/>
          <w:color w:val="000000"/>
          <w:sz w:val="24"/>
          <w:szCs w:val="24"/>
          <w:highlight w:val="none"/>
          <w:lang w:val="en-US"/>
        </w:rPr>
        <w:t>secondary</w:t>
      </w:r>
      <w:r>
        <w:rPr>
          <w:rFonts w:hint="default" w:ascii="Times New Roman" w:hAnsi="Times New Roman" w:cs="Times New Roman"/>
          <w:color w:val="000000"/>
          <w:sz w:val="24"/>
          <w:szCs w:val="24"/>
          <w:highlight w:val="none"/>
        </w:rPr>
        <w:t xml:space="preserve"> hypertension account for </w:t>
      </w:r>
      <w:r>
        <w:rPr>
          <w:rFonts w:hint="default" w:ascii="Times New Roman" w:hAnsi="Times New Roman" w:cs="Times New Roman"/>
          <w:color w:val="000000"/>
          <w:sz w:val="24"/>
          <w:szCs w:val="24"/>
          <w:highlight w:val="none"/>
          <w:lang w:val="en-US"/>
        </w:rPr>
        <w:t>2 to 1</w:t>
      </w:r>
      <w:r>
        <w:rPr>
          <w:rFonts w:hint="default" w:ascii="Times New Roman" w:hAnsi="Times New Roman" w:cs="Times New Roman"/>
          <w:color w:val="000000"/>
          <w:sz w:val="24"/>
          <w:szCs w:val="24"/>
          <w:highlight w:val="none"/>
        </w:rPr>
        <w:t>0% of the hypertension cases (Carey et al</w:t>
      </w:r>
      <w:r>
        <w:rPr>
          <w:rFonts w:hint="default" w:ascii="Times New Roman" w:hAnsi="Times New Roman" w:cs="Times New Roman"/>
          <w:color w:val="000000"/>
          <w:sz w:val="24"/>
          <w:szCs w:val="24"/>
          <w:highlight w:val="none"/>
          <w:lang w:val="en-US"/>
        </w:rPr>
        <w:t>.</w:t>
      </w:r>
      <w:r>
        <w:rPr>
          <w:rFonts w:hint="default" w:ascii="Times New Roman" w:hAnsi="Times New Roman" w:cs="Times New Roman"/>
          <w:color w:val="000000"/>
          <w:sz w:val="24"/>
          <w:szCs w:val="24"/>
          <w:highlight w:val="none"/>
        </w:rPr>
        <w:t xml:space="preserve">, 2018). </w:t>
      </w:r>
    </w:p>
    <w:p>
      <w:pPr>
        <w:spacing w:line="360" w:lineRule="auto"/>
        <w:rPr>
          <w:rFonts w:hint="default" w:ascii="Times New Roman" w:hAnsi="Times New Roman" w:eastAsia="SimSun" w:cs="Times New Roman"/>
          <w:sz w:val="24"/>
          <w:szCs w:val="24"/>
        </w:rPr>
      </w:pPr>
      <w:r>
        <w:rPr>
          <w:rFonts w:hint="default" w:ascii="Times New Roman" w:hAnsi="Times New Roman" w:cs="Times New Roman"/>
          <w:sz w:val="24"/>
          <w:szCs w:val="24"/>
        </w:rPr>
        <w:t>The study on awareness, control, prevention and determinants of hypertension among the primary care nurses in South Africa noted that the prevalence of hypertension was fifty-two percent</w:t>
      </w:r>
      <w:r>
        <w:rPr>
          <w:rFonts w:hint="default" w:ascii="Times New Roman" w:hAnsi="Times New Roman" w:cs="Times New Roman"/>
          <w:sz w:val="24"/>
          <w:szCs w:val="24"/>
          <w:lang w:val="en-US"/>
        </w:rPr>
        <w:t>.</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rPr>
        <w:t>F</w:t>
      </w:r>
      <w:r>
        <w:rPr>
          <w:rFonts w:hint="default" w:ascii="Times New Roman" w:hAnsi="Times New Roman" w:cs="Times New Roman"/>
          <w:sz w:val="24"/>
          <w:szCs w:val="24"/>
        </w:rPr>
        <w:t xml:space="preserve">orty-one percent of the participants were not aware of their hypertension status and among those aware only thirty-eight percent had their blood pressure controlled. </w:t>
      </w:r>
      <w:r>
        <w:rPr>
          <w:rFonts w:hint="default" w:ascii="Times New Roman" w:hAnsi="Times New Roman" w:cs="Times New Roman"/>
          <w:sz w:val="24"/>
          <w:szCs w:val="24"/>
          <w:lang w:val="en-US"/>
        </w:rPr>
        <w:t>T</w:t>
      </w:r>
      <w:r>
        <w:rPr>
          <w:rFonts w:hint="default" w:ascii="Times New Roman" w:hAnsi="Times New Roman" w:cs="Times New Roman"/>
          <w:sz w:val="24"/>
          <w:szCs w:val="24"/>
        </w:rPr>
        <w:t>he study recommended incorporation of effective health programs at the work place for the health care workers (Monakali et al., 2018).</w:t>
      </w:r>
    </w:p>
    <w:p>
      <w:pPr>
        <w:spacing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In Kenya, more than half (56 percent) of Kenyan adults have not had their blood pressure measured, and only 22.3 percent of those diagnosed with hypertension are currently on medication </w:t>
      </w:r>
      <w:r>
        <w:rPr>
          <w:rFonts w:hint="default" w:ascii="Times New Roman" w:hAnsi="Times New Roman" w:cs="Times New Roman"/>
          <w:color w:val="000000"/>
          <w:sz w:val="24"/>
          <w:szCs w:val="24"/>
          <w:lang w:val="en-US"/>
        </w:rPr>
        <w:t xml:space="preserve">(MOH, </w:t>
      </w:r>
      <w:r>
        <w:rPr>
          <w:rFonts w:hint="default" w:ascii="Times New Roman" w:hAnsi="Times New Roman" w:cs="Times New Roman"/>
          <w:color w:val="000000"/>
          <w:sz w:val="24"/>
          <w:szCs w:val="24"/>
        </w:rPr>
        <w:t xml:space="preserve">2015). </w:t>
      </w:r>
    </w:p>
    <w:p>
      <w:pPr>
        <w:spacing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A study in Nyeri Provincial General Hospital indicated that of the 452 hypertensive patients on follow up at the hospital only 33.4% had their blood pressure controlled within the recommended levels </w:t>
      </w:r>
      <w:r>
        <w:rPr>
          <w:rFonts w:hint="default" w:ascii="Times New Roman" w:hAnsi="Times New Roman" w:cs="Times New Roman"/>
          <w:color w:val="000000"/>
          <w:sz w:val="24"/>
          <w:szCs w:val="24"/>
        </w:rPr>
        <w:fldChar w:fldCharType="begin" w:fldLock="1"/>
      </w:r>
      <w:r>
        <w:rPr>
          <w:rFonts w:hint="default" w:ascii="Times New Roman" w:hAnsi="Times New Roman" w:cs="Times New Roman"/>
          <w:color w:val="000000"/>
          <w:sz w:val="24"/>
          <w:szCs w:val="24"/>
        </w:rPr>
        <w:instrText xml:space="preserve">ADDIN CSL_CITATION {"citationItems":[{"id":"ITEM-1","itemData":{"DOI":"10.11604/pamj.2014.18.278.4308","ISSN":"1937-8688","PMID":"25489372","abstract":"INTRODUCTION Uncontrolled hypertension is a leading modifiable risk factor for cardiovascular disease morbidity and mortality. Data on adequacy of blood pressure control in Kenya is scarce. This study aimed at assessing the level of blood pressure control among hypertensive patients on follow-up in a regional referral hospital. METHODS Data regarding blood pressure, antihypertensive medication use, and comorbidities was abstracted from medical records of 452 hypertensive patients seen in Nyeri Provincial General Hospital between January and March 2013. Adequate blood pressure control was defined as a systolic pressure&lt;140 mmHg (&lt;130 mmHg for diabetic hypertensive patients) and a diastolic pressure&lt;90 mmHg (&lt;80 mmHg for diabetic hypertensive patients). Data was entered and analyzed using STATA 9 (StataCorp, Inc, Texas, USA). RESULTS Only 33.4% of patients had a blood pressure within the recommended limits. In multivariate analysis, using a calcium channel blocker was significantly associated with good blood pressure control (OR, 2.1; 95% CI, 1.4, 3.3). On the other hand, old age (≥60 years), being diabetic, and the use of three or more antihypertensive drugs were associated with reduced odds of good blood pressure control (OR, 0.64; 95% CI, 0.43; OR, 0.54; 95% CI, 0.36, 0.81; and OR, 0.41; 95% CI, 0.26, 0.64, respectively). CONCLUSION Poorly controlled blood pressure is an important public health concern among hypertensive patients in this region. Elderly patients, those with diabetes, and those on multidrug regimens are at higher risk for poor blood pressure control and warrant closer attention.","author":[{"dropping-particle":"","family":"Mutua","given":"Ernest Muthami","non-dropping-particle":"","parse-names":false,"suffix":""},{"dropping-particle":"","family":"Gitonga","given":"Moses Mwangi","non-dropping-particle":"","parse-names":false,"suffix":""},{"dropping-particle":"","family":"Mbuthia","given":"Beth","non-dropping-particle":"","parse-names":false,"suffix":""},{"dropping-particle":"","family":"Muiruri","given":"Nelly","non-dropping-particle":"","parse-names":false,"suffix":""},{"dropping-particle":"","family":"Cheptum","given":"Joyce Jebet","non-dropping-particle":"","parse-names":false,"suffix":""},{"dropping-particle":"","family":"Maingi","given":"Thomas","non-dropping-particle":"","parse-names":false,"suffix":""}],"container-title":"The Pan African medical journal","id":"ITEM-1","issued":{"date-parts":[["2014"]]},"page":"278","publisher":"African Field Epidemiology Network","title":"Level of blood pressure control among hypertensive patients on follow-up in a regional referral hospital in Central Kenya.","type":"article-journal","volume":"18"},"uris":["http://www.mendeley.com/documents/?uuid=166bacdb-1270-37ef-ad67-dc7a48b4e178"]}],"mendeley":{"formattedCitation":"(Mutua et al., 2014)","plainTextFormattedCitation":"(Mutua et al., 2014)","previouslyFormattedCitation":"(Mutua et al., 2014)"},"properties":{"noteIndex":0},"schema":"https://github.com/citation-style-language/schema/raw/master/csl-citation.json"}</w:instrText>
      </w:r>
      <w:r>
        <w:rPr>
          <w:rFonts w:hint="default" w:ascii="Times New Roman" w:hAnsi="Times New Roman" w:cs="Times New Roman"/>
          <w:color w:val="000000"/>
          <w:sz w:val="24"/>
          <w:szCs w:val="24"/>
        </w:rPr>
        <w:fldChar w:fldCharType="separate"/>
      </w:r>
      <w:r>
        <w:rPr>
          <w:rFonts w:hint="default" w:ascii="Times New Roman" w:hAnsi="Times New Roman" w:cs="Times New Roman"/>
          <w:color w:val="000000"/>
          <w:sz w:val="24"/>
          <w:szCs w:val="24"/>
        </w:rPr>
        <w:t>(Mutua et al., 2014)</w:t>
      </w:r>
      <w:r>
        <w:rPr>
          <w:rFonts w:hint="default" w:ascii="Times New Roman" w:hAnsi="Times New Roman" w:cs="Times New Roman"/>
          <w:color w:val="000000"/>
          <w:sz w:val="24"/>
          <w:szCs w:val="24"/>
        </w:rPr>
        <w:fldChar w:fldCharType="end"/>
      </w:r>
      <w:r>
        <w:rPr>
          <w:rFonts w:hint="default" w:ascii="Times New Roman" w:hAnsi="Times New Roman" w:cs="Times New Roman"/>
          <w:color w:val="000000"/>
          <w:sz w:val="24"/>
          <w:szCs w:val="24"/>
        </w:rPr>
        <w:t xml:space="preserve">. </w:t>
      </w:r>
      <w:r>
        <w:rPr>
          <w:rFonts w:hint="default" w:ascii="Times New Roman" w:hAnsi="Times New Roman" w:cs="Times New Roman"/>
          <w:color w:val="000000"/>
          <w:sz w:val="24"/>
          <w:szCs w:val="24"/>
          <w:lang w:val="en-US"/>
        </w:rPr>
        <w:t>W</w:t>
      </w:r>
      <w:r>
        <w:rPr>
          <w:rFonts w:hint="default" w:ascii="Times New Roman" w:hAnsi="Times New Roman" w:cs="Times New Roman"/>
          <w:color w:val="000000"/>
          <w:sz w:val="24"/>
          <w:szCs w:val="24"/>
        </w:rPr>
        <w:t>hereas, in a study in a district hospital in Mombasa by Jenson et al, the level of control of blood pressure was 7.4%</w:t>
      </w:r>
      <w:r>
        <w:rPr>
          <w:rFonts w:hint="default" w:ascii="Times New Roman" w:hAnsi="Times New Roman" w:cs="Times New Roman"/>
          <w:color w:val="000000"/>
          <w:sz w:val="24"/>
          <w:szCs w:val="24"/>
          <w:lang w:val="en-US"/>
        </w:rPr>
        <w:t xml:space="preserve"> </w:t>
      </w:r>
      <w:r>
        <w:rPr>
          <w:rFonts w:hint="default" w:ascii="Times New Roman" w:hAnsi="Times New Roman" w:cs="Times New Roman"/>
          <w:color w:val="000000"/>
          <w:sz w:val="24"/>
          <w:szCs w:val="24"/>
        </w:rPr>
        <w:t xml:space="preserve">among hypertensive patients on treatment </w:t>
      </w:r>
      <w:r>
        <w:rPr>
          <w:rFonts w:hint="default" w:ascii="Times New Roman" w:hAnsi="Times New Roman" w:cs="Times New Roman"/>
          <w:color w:val="000000"/>
          <w:sz w:val="24"/>
          <w:szCs w:val="24"/>
        </w:rPr>
        <w:fldChar w:fldCharType="begin" w:fldLock="1"/>
      </w:r>
      <w:r>
        <w:rPr>
          <w:rFonts w:hint="default" w:ascii="Times New Roman" w:hAnsi="Times New Roman" w:cs="Times New Roman"/>
          <w:color w:val="000000"/>
          <w:sz w:val="24"/>
          <w:szCs w:val="24"/>
        </w:rPr>
        <w:instrText xml:space="preserve">ADDIN CSL_CITATION {"citationItems":[{"id":"ITEM-1","itemData":{"DOI":"10.1080/17441692.2010.510478","ISSN":"1744-1692","abstract":"Abstract As populations move to urban centres across East Africa, lifestyle habits that affect cardiovascular disease have changed, affecting non-communicable disease risk. In particular, the prevalence of hypertension, and associated awareness of this life-threatening condition, has not been studied in Mombasa, Kenya. This paper assesses the rates of prevalence, awareness, treatment and control of hypertension in Old Town, an urban district of the coastal city. We surveyed 469 subjects, gathered via a clustered sampling technique. Age-adjusted prevalence of hypertension was measured at 32.6% (±2.2) for adults over 18 and was linearly related to age. Results indicate that hypertension awareness was associated with age and sex, as women were substantially more likely to be aware of and to control their hypertension. Only 23.2% (±2.0) of subjects had knowledge of both the causes of and practical solutions to hypertension, and practical hypertension knowledge was associated with hypertension awareness and ge...","author":[{"dropping-particle":"","family":"Jenson","given":"Alexander","non-dropping-particle":"","parse-names":false,"suffix":""},{"dropping-particle":"","family":"Omar","given":"Athman Lali","non-dropping-particle":"","parse-names":false,"suffix":""},{"dropping-particle":"","family":"Omar","given":"Muntaha Athman","non-dropping-particle":"","parse-names":false,"suffix":""},{"dropping-particle":"","family":"Rishad","given":"A.S.","non-dropping-particle":"","parse-names":false,"suffix":""},{"dropping-particle":"","family":"Khoshnood","given":"Kaveh","non-dropping-particle":"","parse-names":false,"suffix":""}],"container-title":"Global Public Health","id":"ITEM-1","issue":"3","issued":{"date-parts":[["2011","4"]]},"page":"293-306","publisher":" Taylor &amp; Francis Group ","title":"Assessment of hypertension control in a district of Mombasa, Kenya","type":"article-journal","volume":"6"},"uris":["http://www.mendeley.com/documents/?uuid=518399ca-0060-35bc-a86a-808ff6ad5a58"]}],"mendeley":{"formattedCitation":"(Jenson et al., 2011)","plainTextFormattedCitation":"(Jenson et al., 2011)","previouslyFormattedCitation":"(Jenson et al., 2011)"},"properties":{"noteIndex":0},"schema":"https://github.com/citation-style-language/schema/raw/master/csl-citation.json"}</w:instrText>
      </w:r>
      <w:r>
        <w:rPr>
          <w:rFonts w:hint="default" w:ascii="Times New Roman" w:hAnsi="Times New Roman" w:cs="Times New Roman"/>
          <w:color w:val="000000"/>
          <w:sz w:val="24"/>
          <w:szCs w:val="24"/>
        </w:rPr>
        <w:fldChar w:fldCharType="separate"/>
      </w:r>
      <w:r>
        <w:rPr>
          <w:rFonts w:hint="default" w:ascii="Times New Roman" w:hAnsi="Times New Roman" w:cs="Times New Roman"/>
          <w:color w:val="000000"/>
          <w:sz w:val="24"/>
          <w:szCs w:val="24"/>
        </w:rPr>
        <w:t>(Jenson et al., 2011)</w:t>
      </w:r>
      <w:r>
        <w:rPr>
          <w:rFonts w:hint="default" w:ascii="Times New Roman" w:hAnsi="Times New Roman" w:cs="Times New Roman"/>
          <w:color w:val="000000"/>
          <w:sz w:val="24"/>
          <w:szCs w:val="24"/>
        </w:rPr>
        <w:fldChar w:fldCharType="end"/>
      </w:r>
      <w:r>
        <w:rPr>
          <w:rFonts w:hint="default" w:ascii="Times New Roman" w:hAnsi="Times New Roman" w:cs="Times New Roman"/>
          <w:color w:val="000000"/>
          <w:sz w:val="24"/>
          <w:szCs w:val="24"/>
        </w:rPr>
        <w:t xml:space="preserve">. </w:t>
      </w:r>
    </w:p>
    <w:p>
      <w:pPr>
        <w:spacing w:line="360" w:lineRule="auto"/>
        <w:rPr>
          <w:rFonts w:hint="default" w:ascii="Times New Roman" w:hAnsi="Times New Roman" w:cs="Times New Roman"/>
          <w:color w:val="000000"/>
          <w:sz w:val="24"/>
          <w:szCs w:val="24"/>
          <w:highlight w:val="none"/>
        </w:rPr>
      </w:pPr>
    </w:p>
    <w:p>
      <w:pPr>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Research Objectives</w:t>
      </w:r>
      <w:r>
        <w:rPr>
          <w:rFonts w:hint="default" w:ascii="Times New Roman" w:hAnsi="Times New Roman" w:cs="Times New Roman"/>
          <w:sz w:val="24"/>
          <w:szCs w:val="24"/>
        </w:rPr>
        <w:t xml:space="preserve">: </w:t>
      </w:r>
    </w:p>
    <w:p>
      <w:pPr>
        <w:pStyle w:val="6"/>
        <w:numPr>
          <w:ilvl w:val="0"/>
          <w:numId w:val="1"/>
        </w:numPr>
        <w:spacing w:line="360" w:lineRule="auto"/>
        <w:rPr>
          <w:rFonts w:hint="default" w:ascii="Times New Roman" w:hAnsi="Times New Roman" w:cs="Times New Roman"/>
          <w:sz w:val="24"/>
          <w:szCs w:val="24"/>
        </w:rPr>
      </w:pPr>
      <w:r>
        <w:rPr>
          <w:rFonts w:hint="default" w:ascii="Times New Roman" w:hAnsi="Times New Roman" w:cs="Times New Roman"/>
          <w:sz w:val="24"/>
          <w:szCs w:val="24"/>
          <w:lang w:val="en-US"/>
        </w:rPr>
        <w:t>Clinical characteristics of blood pressure control</w:t>
      </w:r>
    </w:p>
    <w:p>
      <w:pPr>
        <w:pStyle w:val="6"/>
        <w:numPr>
          <w:ilvl w:val="0"/>
          <w:numId w:val="1"/>
        </w:numPr>
        <w:spacing w:line="360" w:lineRule="auto"/>
        <w:rPr>
          <w:rFonts w:hint="default" w:ascii="Times New Roman" w:hAnsi="Times New Roman" w:cs="Times New Roman"/>
          <w:sz w:val="24"/>
          <w:szCs w:val="24"/>
        </w:rPr>
      </w:pPr>
      <w:r>
        <w:rPr>
          <w:rFonts w:hint="default" w:ascii="Times New Roman" w:hAnsi="Times New Roman" w:cs="Times New Roman"/>
          <w:sz w:val="24"/>
          <w:szCs w:val="24"/>
          <w:lang w:val="en-US"/>
        </w:rPr>
        <w:t>Risk factors of uncontrolled blood pressure</w:t>
      </w:r>
    </w:p>
    <w:p>
      <w:pPr>
        <w:pStyle w:val="6"/>
        <w:numPr>
          <w:ilvl w:val="0"/>
          <w:numId w:val="1"/>
        </w:numPr>
        <w:spacing w:line="360" w:lineRule="auto"/>
        <w:rPr>
          <w:rFonts w:hint="default" w:ascii="Times New Roman" w:hAnsi="Times New Roman" w:cs="Times New Roman"/>
          <w:sz w:val="24"/>
          <w:szCs w:val="24"/>
        </w:rPr>
      </w:pPr>
      <w:r>
        <w:rPr>
          <w:rFonts w:hint="default" w:ascii="Times New Roman" w:hAnsi="Times New Roman" w:cs="Times New Roman"/>
          <w:sz w:val="24"/>
          <w:szCs w:val="24"/>
          <w:lang w:val="en-US"/>
        </w:rPr>
        <w:t>Level of blood pressure control</w:t>
      </w:r>
    </w:p>
    <w:p>
      <w:pPr>
        <w:spacing w:line="360" w:lineRule="auto"/>
        <w:rPr>
          <w:rFonts w:hint="default" w:ascii="Times New Roman" w:hAnsi="Times New Roman" w:cs="Times New Roman"/>
          <w:b/>
          <w:bCs/>
          <w:sz w:val="24"/>
          <w:szCs w:val="24"/>
          <w:lang w:val="en-US"/>
        </w:rPr>
      </w:pPr>
    </w:p>
    <w:p>
      <w:pP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 </w:t>
      </w:r>
      <w:r>
        <w:rPr>
          <w:rFonts w:hint="default" w:ascii="Times New Roman" w:hAnsi="Times New Roman" w:cs="Times New Roman"/>
          <w:b/>
          <w:bCs/>
          <w:sz w:val="24"/>
          <w:szCs w:val="24"/>
        </w:rPr>
        <w:t>Methodology/ies</w:t>
      </w:r>
      <w:r>
        <w:rPr>
          <w:rFonts w:hint="default" w:ascii="Times New Roman" w:hAnsi="Times New Roman" w:cs="Times New Roman"/>
          <w:b/>
          <w:bCs/>
          <w:sz w:val="24"/>
          <w:szCs w:val="24"/>
          <w:lang w:val="en-US"/>
        </w:rPr>
        <w:t>:</w:t>
      </w:r>
    </w:p>
    <w:p>
      <w:pPr>
        <w:rPr>
          <w:rFonts w:hint="default" w:ascii="Times New Roman" w:hAnsi="Times New Roman" w:cs="Times New Roman"/>
          <w:sz w:val="24"/>
          <w:szCs w:val="24"/>
          <w:lang w:val="en-US"/>
        </w:rPr>
      </w:pPr>
    </w:p>
    <w:p>
      <w:pPr>
        <w:pStyle w:val="6"/>
        <w:numPr>
          <w:ilvl w:val="0"/>
          <w:numId w:val="2"/>
        </w:numPr>
        <w:rPr>
          <w:rFonts w:hint="default" w:ascii="Times New Roman" w:hAnsi="Times New Roman" w:cs="Times New Roman"/>
          <w:sz w:val="24"/>
          <w:szCs w:val="24"/>
        </w:rPr>
      </w:pPr>
      <w:r>
        <w:rPr>
          <w:rFonts w:hint="default" w:ascii="Times New Roman" w:hAnsi="Times New Roman" w:cs="Times New Roman"/>
          <w:sz w:val="24"/>
          <w:szCs w:val="24"/>
        </w:rPr>
        <w:t xml:space="preserve">Method 1 </w:t>
      </w:r>
      <w:r>
        <w:rPr>
          <w:rFonts w:hint="default" w:ascii="Times New Roman" w:hAnsi="Times New Roman" w:cs="Times New Roman"/>
          <w:b/>
          <w:bCs/>
          <w:sz w:val="24"/>
          <w:szCs w:val="24"/>
          <w:lang w:val="en-US"/>
        </w:rPr>
        <w:t>(prospective study)</w:t>
      </w:r>
    </w:p>
    <w:p>
      <w:pPr>
        <w:pStyle w:val="6"/>
        <w:numPr>
          <w:ilvl w:val="0"/>
          <w:numId w:val="2"/>
        </w:numPr>
        <w:rPr>
          <w:rFonts w:hint="default" w:ascii="Times New Roman" w:hAnsi="Times New Roman" w:cs="Times New Roman"/>
          <w:sz w:val="24"/>
          <w:szCs w:val="24"/>
        </w:rPr>
      </w:pPr>
      <w:r>
        <w:rPr>
          <w:rFonts w:hint="default" w:ascii="Times New Roman" w:hAnsi="Times New Roman" w:cs="Times New Roman"/>
          <w:sz w:val="24"/>
          <w:szCs w:val="24"/>
        </w:rPr>
        <w:t xml:space="preserve">Method 2 </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rPr>
        <w:t>prospective study</w:t>
      </w:r>
      <w:r>
        <w:rPr>
          <w:rFonts w:hint="default" w:ascii="Times New Roman" w:hAnsi="Times New Roman" w:cs="Times New Roman"/>
          <w:b/>
          <w:bCs/>
          <w:sz w:val="24"/>
          <w:szCs w:val="24"/>
        </w:rPr>
        <w:t>)</w:t>
      </w:r>
    </w:p>
    <w:p>
      <w:pPr>
        <w:pStyle w:val="6"/>
        <w:numPr>
          <w:ilvl w:val="0"/>
          <w:numId w:val="2"/>
        </w:numPr>
        <w:rPr>
          <w:rFonts w:hint="default" w:ascii="Times New Roman" w:hAnsi="Times New Roman" w:cs="Times New Roman"/>
          <w:sz w:val="24"/>
          <w:szCs w:val="24"/>
        </w:rPr>
      </w:pPr>
      <w:r>
        <w:rPr>
          <w:rFonts w:hint="default" w:ascii="Times New Roman" w:hAnsi="Times New Roman" w:cs="Times New Roman"/>
          <w:sz w:val="24"/>
          <w:szCs w:val="24"/>
        </w:rPr>
        <w:t xml:space="preserve">Method 3 </w:t>
      </w:r>
      <w:r>
        <w:rPr>
          <w:rFonts w:hint="default" w:ascii="Times New Roman" w:hAnsi="Times New Roman" w:cs="Times New Roman"/>
          <w:b/>
          <w:bCs/>
          <w:sz w:val="24"/>
          <w:szCs w:val="24"/>
          <w:lang w:val="en-US"/>
        </w:rPr>
        <w:t>(quantitative study)</w:t>
      </w:r>
    </w:p>
    <w:p>
      <w:pPr>
        <w:numPr>
          <w:numId w:val="0"/>
        </w:numPr>
        <w:spacing w:line="360" w:lineRule="auto"/>
        <w:ind w:leftChars="0"/>
        <w:rPr>
          <w:rFonts w:hint="default" w:ascii="Times New Roman" w:hAnsi="Times New Roman" w:cs="Times New Roman"/>
          <w:b w:val="0"/>
          <w:bCs w:val="0"/>
          <w:sz w:val="24"/>
          <w:szCs w:val="24"/>
          <w:lang w:val="en-US"/>
        </w:rPr>
      </w:pPr>
    </w:p>
    <w:p>
      <w:pPr>
        <w:numPr>
          <w:numId w:val="0"/>
        </w:numPr>
        <w:spacing w:line="360" w:lineRule="auto"/>
        <w:ind w:leftChars="0"/>
        <w:rPr>
          <w:rFonts w:hint="default" w:ascii="Times New Roman" w:hAnsi="Times New Roman" w:cs="Times New Roman"/>
          <w:b w:val="0"/>
          <w:bCs w:val="0"/>
          <w:sz w:val="24"/>
          <w:szCs w:val="24"/>
          <w:lang w:val="en-US"/>
        </w:rPr>
      </w:pPr>
    </w:p>
    <w:p>
      <w:pPr>
        <w:numPr>
          <w:numId w:val="0"/>
        </w:numPr>
        <w:spacing w:line="360" w:lineRule="auto"/>
        <w:ind w:leftChars="0"/>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BUDGET:</w:t>
      </w:r>
    </w:p>
    <w:p>
      <w:pPr>
        <w:numPr>
          <w:numId w:val="0"/>
        </w:numPr>
        <w:spacing w:line="360" w:lineRule="auto"/>
        <w:ind w:leftChars="0"/>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The budget proposal is about 9</w:t>
      </w:r>
      <w:bookmarkStart w:id="0" w:name="_GoBack"/>
      <w:bookmarkEnd w:id="0"/>
      <w:r>
        <w:rPr>
          <w:rFonts w:hint="default" w:ascii="Times New Roman" w:hAnsi="Times New Roman" w:cs="Times New Roman"/>
          <w:b w:val="0"/>
          <w:bCs w:val="0"/>
          <w:sz w:val="24"/>
          <w:szCs w:val="24"/>
          <w:lang w:val="en-US"/>
        </w:rPr>
        <w:t>80,000 Kenya shillings. With a time line of about one year. The research proposal, data collection and analysis will take a duration of one year.</w:t>
      </w:r>
    </w:p>
    <w:p>
      <w:pPr>
        <w:spacing w:line="360" w:lineRule="auto"/>
        <w:rPr>
          <w:rFonts w:hint="default" w:ascii="Times New Roman" w:hAnsi="Times New Roman" w:cs="Times New Roman"/>
          <w:b/>
          <w:bCs/>
          <w:sz w:val="24"/>
          <w:szCs w:val="24"/>
          <w:lang w:val="en-US"/>
        </w:rPr>
      </w:pPr>
    </w:p>
    <w:p>
      <w:pPr>
        <w:spacing w:line="360" w:lineRule="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REFERENCES:</w:t>
      </w:r>
    </w:p>
    <w:p>
      <w:pPr>
        <w:spacing w:line="360" w:lineRule="auto"/>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Ataklte, F., Erqou, S., &amp; Kaptoge, S. (2015). 147 Burden of Undiagnosed Hypertension in Sub-Saharan Africa: A Systematic Review and Meta-Analysis. Heart, 101(Suppl 4), A84.2-A84. https://doi.org/10.1136/heartjnl-2015-308066.147</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 xml:space="preserve">Carey RM, Whelton PK, Aronow WS, Casey DE, Collins KJ, Himmelfarb CD, et al. (2018). Prevention, detection, evaluation, and management of high blood pressure in adults: Synopsis of the 2017 American College of Cardiology/American Heart Association Hypertension Guideline. </w:t>
      </w:r>
      <w:r>
        <w:rPr>
          <w:rFonts w:hint="default" w:ascii="Times New Roman" w:hAnsi="Times New Roman" w:eastAsia="Times New Roman" w:cs="Times New Roman"/>
          <w:i/>
          <w:iCs/>
          <w:kern w:val="0"/>
          <w:sz w:val="24"/>
          <w:szCs w:val="24"/>
          <w:lang w:val="en-US" w:eastAsia="zh-CN" w:bidi="ar"/>
        </w:rPr>
        <w:t>Annals of Internal Med.</w:t>
      </w:r>
      <w:r>
        <w:rPr>
          <w:rFonts w:hint="default" w:ascii="Times New Roman" w:hAnsi="Times New Roman" w:eastAsia="Times New Roman" w:cs="Times New Roman"/>
          <w:kern w:val="0"/>
          <w:sz w:val="24"/>
          <w:szCs w:val="24"/>
          <w:lang w:val="en-US" w:eastAsia="zh-CN" w:bidi="ar"/>
        </w:rPr>
        <w:t xml:space="preserve"> 168(5):351–8.</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 xml:space="preserve">Chen, Y., Wang, C., Liu, Y., Yuan, Z., Zhang, W., Li, X., … Zhang, C. (2016). Incident hypertension and its prediction model in a prospective northern urban Han Chinese cohort study. </w:t>
      </w:r>
      <w:r>
        <w:rPr>
          <w:rFonts w:hint="default" w:ascii="Times New Roman" w:hAnsi="Times New Roman" w:eastAsia="Times New Roman" w:cs="Times New Roman"/>
          <w:i/>
          <w:iCs/>
          <w:kern w:val="0"/>
          <w:sz w:val="24"/>
          <w:szCs w:val="24"/>
          <w:lang w:val="en-US" w:eastAsia="zh-CN" w:bidi="ar"/>
        </w:rPr>
        <w:t xml:space="preserve">Journal of Human Hypertension, </w:t>
      </w:r>
      <w:r>
        <w:rPr>
          <w:rFonts w:hint="default" w:ascii="Times New Roman" w:hAnsi="Times New Roman" w:eastAsia="Times New Roman" w:cs="Times New Roman"/>
          <w:kern w:val="0"/>
          <w:sz w:val="24"/>
          <w:szCs w:val="24"/>
          <w:lang w:val="en-US" w:eastAsia="zh-CN" w:bidi="ar"/>
        </w:rPr>
        <w:t>30(12), 794–800. https://doi.org/10.1038/jhh.2016.23</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Jenson, A., Omar, A. L., Omar, M. A., Rishad, A. S., &amp; Khoshnood, K. (2011). Assessment of hypertension control in a district of Mombasa, Kenya.</w:t>
      </w:r>
      <w:r>
        <w:rPr>
          <w:rFonts w:hint="default" w:ascii="Times New Roman" w:hAnsi="Times New Roman" w:eastAsia="Times New Roman" w:cs="Times New Roman"/>
          <w:i/>
          <w:iCs/>
          <w:kern w:val="0"/>
          <w:sz w:val="24"/>
          <w:szCs w:val="24"/>
          <w:lang w:val="en-US" w:eastAsia="zh-CN" w:bidi="ar"/>
        </w:rPr>
        <w:t xml:space="preserve"> Global Public Health,</w:t>
      </w:r>
      <w:r>
        <w:rPr>
          <w:rFonts w:hint="default" w:ascii="Times New Roman" w:hAnsi="Times New Roman" w:eastAsia="Times New Roman" w:cs="Times New Roman"/>
          <w:kern w:val="0"/>
          <w:sz w:val="24"/>
          <w:szCs w:val="24"/>
          <w:lang w:val="en-US" w:eastAsia="zh-CN" w:bidi="ar"/>
        </w:rPr>
        <w:t xml:space="preserve"> 6(3), 293–306. https://doi.org/10.1080/17441692.2010.510478</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Mills, K.T., Stefanescu, A. &amp; He, J. (2020). The global epidemiology of hypertension.</w:t>
      </w:r>
      <w:r>
        <w:rPr>
          <w:rFonts w:hint="default" w:ascii="Times New Roman" w:hAnsi="Times New Roman" w:eastAsia="Times New Roman" w:cs="Times New Roman"/>
          <w:i/>
          <w:iCs/>
          <w:kern w:val="0"/>
          <w:sz w:val="24"/>
          <w:szCs w:val="24"/>
          <w:lang w:val="en-US" w:eastAsia="zh-CN" w:bidi="ar"/>
        </w:rPr>
        <w:t xml:space="preserve"> Nat Rev Nephrol</w:t>
      </w:r>
      <w:r>
        <w:rPr>
          <w:rFonts w:hint="default" w:ascii="Times New Roman" w:hAnsi="Times New Roman" w:eastAsia="Times New Roman" w:cs="Times New Roman"/>
          <w:kern w:val="0"/>
          <w:sz w:val="24"/>
          <w:szCs w:val="24"/>
          <w:lang w:val="en-US" w:eastAsia="zh-CN" w:bidi="ar"/>
        </w:rPr>
        <w:t xml:space="preserve"> 16, 223–237 https://doi.org/10.1038/s41581-019-0244-2</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 xml:space="preserve">Mills, K. T., Bundy, J. D., Kelly, T. N., Reed, J. E., Kearney, P. M., Reynolds, K., … He, J. (2016). Global Disparities of Hypertension Prevalence and Control: A Systematic Analysis of Population-Based Studies from 90 Countries. </w:t>
      </w:r>
      <w:r>
        <w:rPr>
          <w:rFonts w:hint="default" w:ascii="Times New Roman" w:hAnsi="Times New Roman" w:eastAsia="Times New Roman" w:cs="Times New Roman"/>
          <w:i/>
          <w:iCs/>
          <w:kern w:val="0"/>
          <w:sz w:val="24"/>
          <w:szCs w:val="24"/>
          <w:lang w:val="en-US" w:eastAsia="zh-CN" w:bidi="ar"/>
        </w:rPr>
        <w:t>Circulation,</w:t>
      </w:r>
      <w:r>
        <w:rPr>
          <w:rFonts w:hint="default" w:ascii="Times New Roman" w:hAnsi="Times New Roman" w:eastAsia="Times New Roman" w:cs="Times New Roman"/>
          <w:kern w:val="0"/>
          <w:sz w:val="24"/>
          <w:szCs w:val="24"/>
          <w:lang w:val="en-US" w:eastAsia="zh-CN" w:bidi="ar"/>
        </w:rPr>
        <w:t xml:space="preserve"> 134(6), 441–450. https://doi.org/10.1161/circulationAHA.115.018912</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Ministry of Health - Kenya. (2015). Kenya STEPwise Survey for Non Communicable Diseases Risk Factors 2015 Report. Public Health (Vol. 5). http://www.health.go.ke/wp-content/uploads/2016/04/Executive-summary-6-2.pdf</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Ministry of Health (2018). Kenya national guidelines for cardiovascular diseases management division of non-communicable diseases. Ministry of Health, Kenya. Retrieved from www.health.go.ke</w:t>
      </w:r>
    </w:p>
    <w:p>
      <w:pPr>
        <w:keepNext w:val="0"/>
        <w:keepLines w:val="0"/>
        <w:widowControl/>
        <w:suppressLineNumbers w:val="0"/>
        <w:spacing w:before="100" w:beforeAutospacing="1" w:after="100" w:afterAutospacing="1" w:line="360" w:lineRule="auto"/>
        <w:ind w:left="480" w:right="0" w:hanging="480"/>
        <w:jc w:val="both"/>
        <w:rPr>
          <w:rFonts w:hint="default" w:ascii="Times New Roman" w:hAnsi="Times New Roman" w:cs="Times New Roman"/>
          <w:sz w:val="24"/>
          <w:szCs w:val="24"/>
          <w:lang w:val="en-US"/>
        </w:rPr>
      </w:pPr>
      <w:r>
        <w:rPr>
          <w:rFonts w:hint="default" w:ascii="Times New Roman" w:hAnsi="Times New Roman" w:eastAsia="Times New Roman" w:cs="Times New Roman"/>
          <w:kern w:val="0"/>
          <w:sz w:val="24"/>
          <w:szCs w:val="24"/>
          <w:lang w:val="en-US" w:eastAsia="zh-CN" w:bidi="ar"/>
        </w:rPr>
        <w:t xml:space="preserve">Mutua, E. M., Gitonga, M. M., Mbuthia, B., Muiruri, N., Cheptum, J. J., &amp; Maingi, T. (2014). Level of blood pressure control among hypertensive patients on follow-up in a regional referral hospital in Central Kenya. </w:t>
      </w:r>
      <w:r>
        <w:rPr>
          <w:rFonts w:hint="default" w:ascii="Times New Roman" w:hAnsi="Times New Roman" w:eastAsia="Times New Roman" w:cs="Times New Roman"/>
          <w:i/>
          <w:iCs/>
          <w:kern w:val="0"/>
          <w:sz w:val="24"/>
          <w:szCs w:val="24"/>
          <w:lang w:val="en-US" w:eastAsia="zh-CN" w:bidi="ar"/>
        </w:rPr>
        <w:t>The Pan African Medical Journal,</w:t>
      </w:r>
      <w:r>
        <w:rPr>
          <w:rFonts w:hint="default" w:ascii="Times New Roman" w:hAnsi="Times New Roman" w:eastAsia="Times New Roman" w:cs="Times New Roman"/>
          <w:kern w:val="0"/>
          <w:sz w:val="24"/>
          <w:szCs w:val="24"/>
          <w:lang w:val="en-US" w:eastAsia="zh-CN" w:bidi="ar"/>
        </w:rPr>
        <w:t xml:space="preserve"> 18, 278. https://doi.org/10.11604/pamj.2014.18.278.4308</w:t>
      </w:r>
    </w:p>
    <w:p/>
    <w:p>
      <w:pPr>
        <w:spacing w:line="360" w:lineRule="auto"/>
        <w:rPr>
          <w:rFonts w:hint="default" w:ascii="Times New Roman" w:hAnsi="Times New Roman" w:cs="Times New Roman"/>
          <w:b/>
          <w:bCs/>
          <w:sz w:val="24"/>
          <w:szCs w:val="24"/>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Cordia New">
    <w:altName w:val="Microsoft Sans Serif"/>
    <w:panose1 w:val="00000000000000000000"/>
    <w:charset w:val="DE"/>
    <w:family w:val="swiss"/>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86"/>
    <w:family w:val="swiss"/>
    <w:pitch w:val="default"/>
    <w:sig w:usb0="E4002EFF" w:usb1="C000247B" w:usb2="00000009" w:usb3="00000000" w:csb0="200001FF" w:csb1="00000000"/>
  </w:font>
  <w:font w:name="Symbol">
    <w:panose1 w:val="05050102010706020507"/>
    <w:charset w:val="02"/>
    <w:family w:val="decorative"/>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A7C52"/>
    <w:multiLevelType w:val="multilevel"/>
    <w:tmpl w:val="650A7C5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79E812FD"/>
    <w:multiLevelType w:val="multilevel"/>
    <w:tmpl w:val="79E812F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042CCB"/>
    <w:rsid w:val="148C5590"/>
    <w:rsid w:val="23384C96"/>
    <w:rsid w:val="3E042CCB"/>
    <w:rsid w:val="3F5D36FC"/>
    <w:rsid w:val="41A53138"/>
    <w:rsid w:val="53C47776"/>
    <w:rsid w:val="7A0D2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9"/>
    <w:pPr>
      <w:keepNext/>
      <w:keepLines/>
      <w:spacing w:before="400" w:after="40"/>
      <w:jc w:val="center"/>
      <w:outlineLvl w:val="0"/>
    </w:pPr>
    <w:rPr>
      <w:rFonts w:eastAsia="SimSun" w:cs="Times New Roman"/>
      <w:color w:val="000000"/>
      <w:szCs w:val="36"/>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Normal (Web)"/>
    <w:basedOn w:val="1"/>
    <w:qFormat/>
    <w:uiPriority w:val="99"/>
    <w:pPr>
      <w:spacing w:before="100" w:beforeAutospacing="1" w:after="100" w:afterAutospacing="1" w:line="240" w:lineRule="auto"/>
    </w:pPr>
    <w:rPr>
      <w:rFonts w:eastAsia="Times New Roman" w:cs="Times New Roman"/>
      <w:szCs w:val="24"/>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Office_11.2.0.11191_F1E327BC-269C-435d-A152-05C5408002CA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2022-07-28T12:32:00Z</dcterms:created>
  <dc:creator>Evelyn Kawira</dc:creator>
  <cp:lastModifiedBy>Evelyn Kawira</cp:lastModifiedBy>
  <dcterms:modified xsi:type="dcterms:W3CDTF">2022-07-29T10:14:10Z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1033-11.2.0.11191</vt:lpwstr>
  </property>
  <property fmtid="{D5CDD505-2E9C-101B-9397-08002B2CF9AE}" pid="3" name="ICV">
    <vt:lpwstr>F5D4E40511D646AB8197896977AE9F23</vt:lpwstr>
  </property>
</Properties>
</file>