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84B31" w14:textId="18955CE0" w:rsidR="00B91BBD" w:rsidRDefault="00473598">
      <w:pPr>
        <w:rPr>
          <w:lang w:val="en-ZA"/>
        </w:rPr>
      </w:pPr>
      <w:r>
        <w:rPr>
          <w:lang w:val="en-ZA"/>
        </w:rPr>
        <w:t>Slide 1</w:t>
      </w:r>
    </w:p>
    <w:p w14:paraId="3518CD79" w14:textId="6A97E65C" w:rsidR="00473598" w:rsidRDefault="00473598">
      <w:pPr>
        <w:rPr>
          <w:lang w:val="en-ZA"/>
        </w:rPr>
      </w:pPr>
      <w:r>
        <w:rPr>
          <w:lang w:val="en-ZA"/>
        </w:rPr>
        <w:t>National Health Insurance is a vehicle towards achieving universal health coverage, and is a health financing mechanism which seeks to improve the coverage of the population with health services</w:t>
      </w:r>
      <w:r w:rsidR="00600197">
        <w:rPr>
          <w:lang w:val="en-ZA"/>
        </w:rPr>
        <w:t xml:space="preserve"> through </w:t>
      </w:r>
      <w:r w:rsidR="00854175">
        <w:rPr>
          <w:lang w:val="en-ZA"/>
        </w:rPr>
        <w:t xml:space="preserve">progressive financing, </w:t>
      </w:r>
      <w:r w:rsidR="00600197">
        <w:rPr>
          <w:lang w:val="en-ZA"/>
        </w:rPr>
        <w:t>better risk pooling and strategic purchasing. Risk pooling is where the rich subsidize the poor and the healthy subsidize the sick. The bigger the pool, the more sustainable it is. The more pools you have, the greater the risk borne by each pool. Reducing fragmentation also benefits purchasing power- the greater your market share, the greater your control over how much you pay</w:t>
      </w:r>
      <w:r w:rsidR="00854175">
        <w:rPr>
          <w:lang w:val="en-ZA"/>
        </w:rPr>
        <w:t>- and this includes for goods as well as services. Being able to monitor system responses to inputs allows you to react appropriately but requires a robust health information system. Overarching everything is the need for strong leadership, good governance and civil society and stakeholder support.</w:t>
      </w:r>
    </w:p>
    <w:p w14:paraId="606D4ACF" w14:textId="4666C569" w:rsidR="00854175" w:rsidRDefault="00AB2E69">
      <w:pPr>
        <w:rPr>
          <w:lang w:val="en-ZA"/>
        </w:rPr>
      </w:pPr>
      <w:r>
        <w:rPr>
          <w:lang w:val="en-ZA"/>
        </w:rPr>
        <w:t xml:space="preserve">The overarching goal of universal health care is one of equity- equity in coverage of the population, equity in coverage of a basket of services and equity in reducing out of pocket payments by its members. At this point it is necessary to highlight 2 particular issues. The first is of quality. If quality is poor, people will either not use the service even if it is free. They will </w:t>
      </w:r>
      <w:r w:rsidR="00853816">
        <w:rPr>
          <w:lang w:val="en-ZA"/>
        </w:rPr>
        <w:t>either pay out of pocket for a service with perceived higher quality, forgo the service entirely, or grudging have to use the low quality service sporadically. Either way you will not get the health outcomes you are looking for and you risk impoverishing people further. The second issue is one of financial risk protection which is typically measured through out of pocket spending at point of care, and rarely considers out of pocket spending on transport or income lost as a result of seeking health care.</w:t>
      </w:r>
    </w:p>
    <w:p w14:paraId="6FB02196" w14:textId="7A5CC7C5" w:rsidR="00853816" w:rsidRDefault="00853816">
      <w:pPr>
        <w:rPr>
          <w:lang w:val="en-ZA"/>
        </w:rPr>
      </w:pPr>
      <w:r>
        <w:rPr>
          <w:lang w:val="en-ZA"/>
        </w:rPr>
        <w:t>Slide 2</w:t>
      </w:r>
    </w:p>
    <w:p w14:paraId="5468D557" w14:textId="6ADB6C22" w:rsidR="00853816" w:rsidRDefault="00853816">
      <w:pPr>
        <w:rPr>
          <w:lang w:val="en-ZA"/>
        </w:rPr>
      </w:pPr>
      <w:r>
        <w:rPr>
          <w:lang w:val="en-ZA"/>
        </w:rPr>
        <w:t>There is no blue print for getting there, and whilst it looks logical on paper, it is rarely as smooth sailing in reality. Each country is different. They hav</w:t>
      </w:r>
      <w:r w:rsidR="006179EE">
        <w:rPr>
          <w:lang w:val="en-ZA"/>
        </w:rPr>
        <w:t>e</w:t>
      </w:r>
      <w:r>
        <w:rPr>
          <w:lang w:val="en-ZA"/>
        </w:rPr>
        <w:t xml:space="preserve"> different socioeconomic, political</w:t>
      </w:r>
      <w:r w:rsidR="003953EA">
        <w:rPr>
          <w:lang w:val="en-ZA"/>
        </w:rPr>
        <w:t xml:space="preserve">, demographic and epidemiological profiles. Each country’s health system is also unique. Each countrys’ budget for health reform- and the resources with which to work- is different. </w:t>
      </w:r>
      <w:r w:rsidR="002E2245">
        <w:rPr>
          <w:lang w:val="en-ZA"/>
        </w:rPr>
        <w:t>It is an incremental process.</w:t>
      </w:r>
    </w:p>
    <w:p w14:paraId="7ED03C93" w14:textId="5FCAEF80" w:rsidR="002E2245" w:rsidRDefault="002E2245">
      <w:pPr>
        <w:rPr>
          <w:lang w:val="en-ZA"/>
        </w:rPr>
      </w:pPr>
      <w:r>
        <w:rPr>
          <w:lang w:val="en-ZA"/>
        </w:rPr>
        <w:t>Slide 3</w:t>
      </w:r>
    </w:p>
    <w:p w14:paraId="0752E89B" w14:textId="7A97A440" w:rsidR="002E2245" w:rsidRDefault="002E2245">
      <w:pPr>
        <w:rPr>
          <w:lang w:val="en-ZA"/>
        </w:rPr>
      </w:pPr>
      <w:r>
        <w:rPr>
          <w:lang w:val="en-ZA"/>
        </w:rPr>
        <w:t>Success depends on a number of factors and requires strong leadership and sufficient stakeholder support- not only at national level, but at all levels of the system.</w:t>
      </w:r>
      <w:r w:rsidR="0065185D">
        <w:rPr>
          <w:lang w:val="en-ZA"/>
        </w:rPr>
        <w:t xml:space="preserve"> This is of particular relevance to the disability and rehabilitation sectors, as few policy makers, budget holders and decision makers have any understanding of disability or rehabilitation, and professional societies and end user groups  are often poorly organized and fragmented.</w:t>
      </w:r>
    </w:p>
    <w:p w14:paraId="2685351F" w14:textId="449901EB" w:rsidR="0065185D" w:rsidRDefault="0065185D">
      <w:pPr>
        <w:rPr>
          <w:lang w:val="en-ZA"/>
        </w:rPr>
      </w:pPr>
      <w:r>
        <w:rPr>
          <w:lang w:val="en-ZA"/>
        </w:rPr>
        <w:t>Beyond advocacy and stewardship, there are both supply and demand side challenges which cannot be solved simply by throwing money at disability and rehabilitation. Sure, it will help in some way, but it wont completely solve the problem.</w:t>
      </w:r>
      <w:r w:rsidR="005524ED">
        <w:rPr>
          <w:lang w:val="en-ZA"/>
        </w:rPr>
        <w:t xml:space="preserve"> Which brings us to service design and delivery. The way services are designed and delivered has a massive impact on uptake and retention in care, largely because it affects affordability, acceptability and accessibility. But to do this well- and here comes the crux- and to do this at scale, you need a robust information system which gives you sufficiently detailed and disaggregated information with which to make strategic decisions as well as manage services on a day to day basis.</w:t>
      </w:r>
    </w:p>
    <w:p w14:paraId="3CEB697D" w14:textId="3F07D6DD" w:rsidR="00A548D8" w:rsidRDefault="00A548D8">
      <w:pPr>
        <w:rPr>
          <w:lang w:val="en-ZA"/>
        </w:rPr>
      </w:pPr>
      <w:r>
        <w:rPr>
          <w:lang w:val="en-ZA"/>
        </w:rPr>
        <w:t>Slide 5</w:t>
      </w:r>
    </w:p>
    <w:p w14:paraId="2ACAB6E0" w14:textId="60F9989E" w:rsidR="00A548D8" w:rsidRDefault="00A548D8">
      <w:pPr>
        <w:rPr>
          <w:lang w:val="en-ZA"/>
        </w:rPr>
      </w:pPr>
      <w:r>
        <w:rPr>
          <w:lang w:val="en-ZA"/>
        </w:rPr>
        <w:lastRenderedPageBreak/>
        <w:t xml:space="preserve">We simply cannot get away from it. Monitoring and evaluation. </w:t>
      </w:r>
      <w:r w:rsidR="000B1059">
        <w:rPr>
          <w:lang w:val="en-ZA"/>
        </w:rPr>
        <w:t>Whatever level you operate at, be it national, provincial, district or local primary health care, you need to know where you are coming from, what you are aiming for, and how you are doing. You need to know how the system and its end users responded to different interventions otherwise you run the risk of getting stuck in a rutted track and getting the same mediocre results.</w:t>
      </w:r>
    </w:p>
    <w:p w14:paraId="6260D903" w14:textId="40C76DFD" w:rsidR="000B1059" w:rsidRDefault="000B1059">
      <w:pPr>
        <w:rPr>
          <w:lang w:val="en-ZA"/>
        </w:rPr>
      </w:pPr>
      <w:r>
        <w:rPr>
          <w:lang w:val="en-ZA"/>
        </w:rPr>
        <w:t>At national level, policy makers and budget holders want to know</w:t>
      </w:r>
    </w:p>
    <w:p w14:paraId="21415DC7" w14:textId="728ABC86" w:rsidR="000B1059" w:rsidRPr="000B1059" w:rsidRDefault="000B1059" w:rsidP="000B1059">
      <w:pPr>
        <w:numPr>
          <w:ilvl w:val="0"/>
          <w:numId w:val="1"/>
        </w:numPr>
      </w:pPr>
      <w:r w:rsidRPr="000B1059">
        <w:t>What gives us the best bang for our buck (benefits package)?</w:t>
      </w:r>
      <w:r>
        <w:t>- this is the realm of Health Technology Assessment and economic analyses and has implications for a</w:t>
      </w:r>
      <w:r w:rsidR="008A64BF">
        <w:t xml:space="preserve"> collaboration between academia and coalface workers.</w:t>
      </w:r>
    </w:p>
    <w:p w14:paraId="63B76FE3" w14:textId="3519367F" w:rsidR="000B1059" w:rsidRPr="000B1059" w:rsidRDefault="000B1059" w:rsidP="000B1059">
      <w:pPr>
        <w:numPr>
          <w:ilvl w:val="0"/>
          <w:numId w:val="1"/>
        </w:numPr>
      </w:pPr>
      <w:r w:rsidRPr="000B1059">
        <w:t>Are we getting bang for buck? (contracting, investments made)</w:t>
      </w:r>
      <w:r w:rsidR="008A64BF">
        <w:t xml:space="preserve"> For example, is it worth contracting a practice to provide a certain number of interventions if you as the payer have no idea how many people require them and have no idea what fraction of the population received them? And how would you know whether those interventions you are paying for have an impact on, say, levels of poverty for a specific sub-group of vulnerable people?</w:t>
      </w:r>
    </w:p>
    <w:p w14:paraId="0F4C3414" w14:textId="636772AF" w:rsidR="000B1059" w:rsidRPr="000B1059" w:rsidRDefault="000B1059" w:rsidP="000B1059">
      <w:pPr>
        <w:numPr>
          <w:ilvl w:val="0"/>
          <w:numId w:val="1"/>
        </w:numPr>
      </w:pPr>
      <w:r w:rsidRPr="000B1059">
        <w:t>Is it equitable across sub-groups?</w:t>
      </w:r>
      <w:r w:rsidR="006D67DE">
        <w:t xml:space="preserve"> Are we leaving anyone behind or does it cost any group  proportionally more to access the services they need?</w:t>
      </w:r>
    </w:p>
    <w:p w14:paraId="7976AA38" w14:textId="7AC086F1" w:rsidR="000B1059" w:rsidRDefault="006D67DE" w:rsidP="000B1059">
      <w:pPr>
        <w:numPr>
          <w:ilvl w:val="0"/>
          <w:numId w:val="1"/>
        </w:numPr>
      </w:pPr>
      <w:r>
        <w:t xml:space="preserve">(and finally), </w:t>
      </w:r>
      <w:r w:rsidR="000B1059" w:rsidRPr="000B1059">
        <w:t>What progress are we making towards UHC?</w:t>
      </w:r>
    </w:p>
    <w:p w14:paraId="2CEF01B2" w14:textId="5FEFBBD0" w:rsidR="006D67DE" w:rsidRDefault="006D67DE" w:rsidP="006D67DE">
      <w:r w:rsidRPr="006D67DE">
        <w:t>And at grass roots</w:t>
      </w:r>
      <w:r w:rsidRPr="006D67DE">
        <w:t xml:space="preserve"> level</w:t>
      </w:r>
      <w:r w:rsidRPr="006D67DE">
        <w:t xml:space="preserve">- </w:t>
      </w:r>
      <w:r w:rsidRPr="006D67DE">
        <w:t xml:space="preserve">you want to know </w:t>
      </w:r>
      <w:r w:rsidRPr="006D67DE">
        <w:t xml:space="preserve">how well </w:t>
      </w:r>
      <w:r w:rsidRPr="006D67DE">
        <w:t>you are</w:t>
      </w:r>
      <w:r w:rsidRPr="006D67DE">
        <w:t xml:space="preserve"> performing for service x, who do</w:t>
      </w:r>
      <w:r w:rsidRPr="006D67DE">
        <w:t xml:space="preserve"> you</w:t>
      </w:r>
      <w:r w:rsidRPr="006D67DE">
        <w:t xml:space="preserve"> need to see and at what frequency for services x, y and z, who is waiting for what device, do </w:t>
      </w:r>
      <w:r w:rsidRPr="006D67DE">
        <w:t>you</w:t>
      </w:r>
      <w:r w:rsidRPr="006D67DE">
        <w:t xml:space="preserve"> need more staff, </w:t>
      </w:r>
      <w:r w:rsidRPr="006D67DE">
        <w:t xml:space="preserve">and </w:t>
      </w:r>
      <w:r w:rsidRPr="006D67DE">
        <w:t xml:space="preserve">what is </w:t>
      </w:r>
      <w:r w:rsidRPr="006D67DE">
        <w:t>y</w:t>
      </w:r>
      <w:r w:rsidRPr="006D67DE">
        <w:t>our lost to follow up rate?</w:t>
      </w:r>
    </w:p>
    <w:p w14:paraId="0B04FE98" w14:textId="6FDA85A6" w:rsidR="006D67DE" w:rsidRDefault="006D67DE" w:rsidP="006D67DE">
      <w:r>
        <w:t>Slide 6</w:t>
      </w:r>
    </w:p>
    <w:p w14:paraId="2D461EC7" w14:textId="7CFBF11B" w:rsidR="006D67DE" w:rsidRDefault="006D67DE" w:rsidP="006D67DE">
      <w:r>
        <w:t>To monitor progress towards universal health care, two discreet components are measured- coverage and financial risk protection. This is done using a number of information sources including national census data, routinely administered national household surveys and routinely collected health service data. It is also supplemented with</w:t>
      </w:r>
      <w:r w:rsidR="003E23B5">
        <w:t xml:space="preserve"> contextually relevant research results where necessary. But the devil is really in the detail. Things may look great at macro level, only to find that a particular sub-group of vulnerable people are being left behind. But to analyse this you need sufficiently disaggregated data and large enough data sets. And of course it matters what questions you ask and who answers them. And this is where rehabilitation and disability is really falling through the cracks. </w:t>
      </w:r>
    </w:p>
    <w:p w14:paraId="685D8E85" w14:textId="114F888B" w:rsidR="003E23B5" w:rsidRDefault="003E23B5" w:rsidP="006D67DE">
      <w:r>
        <w:t>Slide 7</w:t>
      </w:r>
    </w:p>
    <w:p w14:paraId="3335E662" w14:textId="0A6A6E0C" w:rsidR="003E23B5" w:rsidRDefault="00C7261E" w:rsidP="006D67DE">
      <w:r>
        <w:t>Rehabilitation services across Africa are fragmented, underfunded, under developed and- if they exist- largely centralized to bigger institutions. The vast majority of rehabilitation services available rely on out of pocket payments- at point of care this is driven either driven by a fee for service model or through insufficient insurance coverage, and due to the highly fragmented and centralized set ups, through out of pocket spending on transport getting there. Human resources are limited both at professional level as well as mid-level rehab worker level and there is little evidence of robust workforce planning. As I have said before, there is li</w:t>
      </w:r>
      <w:r w:rsidR="00294392">
        <w:t xml:space="preserve">ttle understanding of disability and rehabilitation by budget holders and decision makers, if disability and rehabilitation is even given chance for policy input it is often at the final stages with little chance for meaningful input, and what advocacy and integration efforts exist are hampered </w:t>
      </w:r>
      <w:r w:rsidR="00294392">
        <w:lastRenderedPageBreak/>
        <w:t>by a global lack of relevant data. All in all, we haven’t really got our right foot forward, and</w:t>
      </w:r>
      <w:r w:rsidR="0032289C">
        <w:t xml:space="preserve"> a collaborative effort is going to be required for progress to be made.</w:t>
      </w:r>
    </w:p>
    <w:p w14:paraId="300C6AD2" w14:textId="09A68449" w:rsidR="0032289C" w:rsidRDefault="0032289C" w:rsidP="006D67DE">
      <w:r>
        <w:t>Slide 8:</w:t>
      </w:r>
    </w:p>
    <w:p w14:paraId="092A6D3E" w14:textId="77777777" w:rsidR="00130A40" w:rsidRDefault="0032289C" w:rsidP="006D67DE">
      <w:r>
        <w:t xml:space="preserve">Why is rehabilitation so historically poorly developed and integrated? Well, there are a number of reasons, </w:t>
      </w:r>
      <w:r w:rsidR="00F85932">
        <w:t>largely around what data is used, how analyses are done</w:t>
      </w:r>
      <w:r w:rsidR="00130A40">
        <w:t xml:space="preserve">- and this is going to require some creative thinking in the future in order to ‘mainstream’ disability and rehabilitation for inclusion in health benefits packages and monitoring universal health coverage in particular subgroups. </w:t>
      </w:r>
    </w:p>
    <w:p w14:paraId="0458D52E" w14:textId="77777777" w:rsidR="00130A40" w:rsidRDefault="00130A40" w:rsidP="006D67DE">
      <w:r>
        <w:t>But it also has to do with what the objectives of the health system are- most are still focused on infectious diseases and mortality and have historically been driven by donor agendas.</w:t>
      </w:r>
      <w:r w:rsidR="0032289C">
        <w:t xml:space="preserve"> </w:t>
      </w:r>
      <w:r>
        <w:t>Whilst this seems to be changing, the wheels of bureaucracy turn slowly.</w:t>
      </w:r>
    </w:p>
    <w:p w14:paraId="542DA5B5" w14:textId="50A37147" w:rsidR="0032289C" w:rsidRDefault="00130A40" w:rsidP="006D67DE">
      <w:r>
        <w:t xml:space="preserve">Lastly and most poignantly, it is really a case of </w:t>
      </w:r>
      <w:r w:rsidR="0032289C">
        <w:t>‘out of sight, out of mind’</w:t>
      </w:r>
      <w:r w:rsidR="00631A81">
        <w:t xml:space="preserve"> Where a proportion of your target population doesn’t appear on any service utilization registers, cannot effectively complain or lobby, cannot be analysed as a sub-group</w:t>
      </w:r>
      <w:r w:rsidR="00F85932">
        <w:t xml:space="preserve"> in health service analyses , where rehab services are so fragmented or non-existant that even if people were aware of them or wanted to use them they couldn’t, and where relevant data doesn’t exist, then you have the prime recipe for </w:t>
      </w:r>
      <w:r>
        <w:t>neglect.</w:t>
      </w:r>
    </w:p>
    <w:p w14:paraId="293D7E58" w14:textId="69C5EF0C" w:rsidR="00130A40" w:rsidRDefault="00130A40" w:rsidP="006D67DE">
      <w:r>
        <w:t>Slide 9:</w:t>
      </w:r>
    </w:p>
    <w:p w14:paraId="69709512" w14:textId="3494D5D2" w:rsidR="00130A40" w:rsidRDefault="006D1407" w:rsidP="006D67DE">
      <w:r>
        <w:t>And yet, people with disabilities- although not a homogenous group- are largely understood to have:</w:t>
      </w:r>
    </w:p>
    <w:p w14:paraId="1FAD5C51" w14:textId="77777777" w:rsidR="006D1407" w:rsidRPr="006D1407" w:rsidRDefault="006D1407" w:rsidP="006D1407">
      <w:pPr>
        <w:numPr>
          <w:ilvl w:val="0"/>
          <w:numId w:val="2"/>
        </w:numPr>
      </w:pPr>
      <w:r w:rsidRPr="006D1407">
        <w:t>The same general health needs as others, but with far greater barriers to accessing and remaining in basic healthcare;</w:t>
      </w:r>
    </w:p>
    <w:p w14:paraId="58BB5F60" w14:textId="77777777" w:rsidR="006D1407" w:rsidRPr="006D1407" w:rsidRDefault="006D1407" w:rsidP="006D1407">
      <w:pPr>
        <w:numPr>
          <w:ilvl w:val="0"/>
          <w:numId w:val="2"/>
        </w:numPr>
      </w:pPr>
      <w:r w:rsidRPr="006D1407">
        <w:t>Additional specific health needs relating to their disability (e.g., psychotropic medication for mental illness, assistive devices, targeted rehabilitation interventions); and</w:t>
      </w:r>
    </w:p>
    <w:p w14:paraId="2746B873" w14:textId="77777777" w:rsidR="006D1407" w:rsidRPr="006D1407" w:rsidRDefault="006D1407" w:rsidP="006D1407">
      <w:pPr>
        <w:numPr>
          <w:ilvl w:val="0"/>
          <w:numId w:val="2"/>
        </w:numPr>
      </w:pPr>
      <w:r w:rsidRPr="006D1407">
        <w:t xml:space="preserve">Higher risk of additional health conditions developing </w:t>
      </w:r>
    </w:p>
    <w:p w14:paraId="4CDB9BC0" w14:textId="67D65641" w:rsidR="006D1407" w:rsidRDefault="006D1407" w:rsidP="006D67DE">
      <w:r>
        <w:t>But yet are consistently left out of health policy and planning and glossed over when discussing universal health coverage.</w:t>
      </w:r>
    </w:p>
    <w:p w14:paraId="24B7EF9B" w14:textId="05874A90" w:rsidR="006D1407" w:rsidRDefault="006D1407" w:rsidP="006D67DE">
      <w:r>
        <w:t>Slide 10:</w:t>
      </w:r>
    </w:p>
    <w:p w14:paraId="324424D8" w14:textId="1E9F66A3" w:rsidR="006D1407" w:rsidRDefault="006D1407" w:rsidP="006D67DE">
      <w:r>
        <w:t>As previously mentioned, there are both supply and demand side challenges to providing effective disability and rehabilitation services. These are well described in a plethora of qualitative literature, yet quantitative analyses are severely lacking.</w:t>
      </w:r>
      <w:r w:rsidR="00C2069A">
        <w:t xml:space="preserve"> </w:t>
      </w:r>
    </w:p>
    <w:p w14:paraId="64313163" w14:textId="367BF2E1" w:rsidR="00C2069A" w:rsidRDefault="00C2069A" w:rsidP="006D67DE">
      <w:r>
        <w:t>Slide 11:</w:t>
      </w:r>
    </w:p>
    <w:p w14:paraId="4C21622D" w14:textId="5A3DBEAF" w:rsidR="00C2069A" w:rsidRDefault="00C2069A" w:rsidP="006D67DE">
      <w:r>
        <w:t>And whilst service design and delivery has the potential for influencing many of these barriers to uptake and retention in care, it is sadly not as simple as:</w:t>
      </w:r>
    </w:p>
    <w:p w14:paraId="69D1B1AD" w14:textId="77777777" w:rsidR="00C2069A" w:rsidRPr="00C2069A" w:rsidRDefault="00C2069A" w:rsidP="00C2069A">
      <w:pPr>
        <w:numPr>
          <w:ilvl w:val="0"/>
          <w:numId w:val="3"/>
        </w:numPr>
      </w:pPr>
      <w:r w:rsidRPr="00C2069A">
        <w:t>preventing impoverishment</w:t>
      </w:r>
    </w:p>
    <w:p w14:paraId="2C9A2F1D" w14:textId="008EFFDA" w:rsidR="00C2069A" w:rsidRPr="00C2069A" w:rsidRDefault="00C2069A" w:rsidP="00C2069A">
      <w:pPr>
        <w:numPr>
          <w:ilvl w:val="0"/>
          <w:numId w:val="3"/>
        </w:numPr>
      </w:pPr>
      <w:r w:rsidRPr="00C2069A">
        <w:t>addressing HR</w:t>
      </w:r>
    </w:p>
    <w:p w14:paraId="320E2947" w14:textId="69ADE98C" w:rsidR="00C2069A" w:rsidRPr="00C2069A" w:rsidRDefault="00C2069A" w:rsidP="00C2069A">
      <w:pPr>
        <w:numPr>
          <w:ilvl w:val="0"/>
          <w:numId w:val="3"/>
        </w:numPr>
      </w:pPr>
      <w:r w:rsidRPr="00C2069A">
        <w:t>as ensuring geographical coverage of services</w:t>
      </w:r>
    </w:p>
    <w:p w14:paraId="6452560B" w14:textId="1CDC38DD" w:rsidR="00C2069A" w:rsidRPr="00C2069A" w:rsidRDefault="00C2069A" w:rsidP="00C2069A">
      <w:pPr>
        <w:numPr>
          <w:ilvl w:val="0"/>
          <w:numId w:val="3"/>
        </w:numPr>
      </w:pPr>
      <w:r w:rsidRPr="00C2069A">
        <w:lastRenderedPageBreak/>
        <w:t>as simply ensuring assistive devices are adequately funded</w:t>
      </w:r>
    </w:p>
    <w:p w14:paraId="45BBC840" w14:textId="16C34A8B" w:rsidR="00C2069A" w:rsidRDefault="00C2069A" w:rsidP="00C2069A">
      <w:pPr>
        <w:numPr>
          <w:ilvl w:val="0"/>
          <w:numId w:val="3"/>
        </w:numPr>
      </w:pPr>
      <w:r w:rsidRPr="00C2069A">
        <w:t>as providing 'evidence based health sector interventions' according to stipulated guidelines</w:t>
      </w:r>
    </w:p>
    <w:p w14:paraId="5D0F8073" w14:textId="39D2C0EA" w:rsidR="00C2069A" w:rsidRDefault="00C2069A" w:rsidP="00C2069A">
      <w:r>
        <w:t>These are all very important, but they are pieces of a puzzle.</w:t>
      </w:r>
    </w:p>
    <w:p w14:paraId="653FA24E" w14:textId="623310AF" w:rsidR="00C2069A" w:rsidRDefault="00C2069A" w:rsidP="00C2069A">
      <w:r>
        <w:t>I am going to relate four stories, each of them touching on an aspect of service design and delivery which has the potential to affect uptake and retention in care.</w:t>
      </w:r>
    </w:p>
    <w:p w14:paraId="5C13E656" w14:textId="3DDB01C1" w:rsidR="00C2069A" w:rsidRDefault="00C2069A" w:rsidP="00C2069A">
      <w:r>
        <w:t>Slide 12:</w:t>
      </w:r>
    </w:p>
    <w:p w14:paraId="358D0D3A" w14:textId="77777777" w:rsidR="00566E0D" w:rsidRDefault="00566E0D" w:rsidP="00566E0D">
      <w:pPr>
        <w:pStyle w:val="NoSpacing"/>
      </w:pPr>
      <w:r>
        <w:rPr>
          <w:color w:val="4472C4"/>
        </w:rPr>
        <w:t>Over the years, I have heard therapists and managers often say the following :</w:t>
      </w:r>
    </w:p>
    <w:p w14:paraId="7F412A6E" w14:textId="77777777" w:rsidR="00566E0D" w:rsidRDefault="00566E0D" w:rsidP="00566E0D">
      <w:pPr>
        <w:pStyle w:val="NoSpacing"/>
      </w:pPr>
      <w:r>
        <w:rPr>
          <w:i/>
          <w:iCs/>
          <w:color w:val="4472C4"/>
        </w:rPr>
        <w:t>‘We don’t need any spinal cord peer supporters because we don’t have any quads/paras’</w:t>
      </w:r>
    </w:p>
    <w:p w14:paraId="0205BF4B" w14:textId="77777777" w:rsidR="00566E0D" w:rsidRDefault="00566E0D" w:rsidP="00566E0D">
      <w:pPr>
        <w:pStyle w:val="NoSpacing"/>
      </w:pPr>
      <w:r>
        <w:rPr>
          <w:i/>
          <w:iCs/>
          <w:color w:val="4472C4"/>
        </w:rPr>
        <w:t>‘We only have 20-30 children with CP in our area, so we run a group at the hospital once a month’</w:t>
      </w:r>
    </w:p>
    <w:p w14:paraId="31884124" w14:textId="77777777" w:rsidR="00566E0D" w:rsidRDefault="00566E0D" w:rsidP="00566E0D">
      <w:pPr>
        <w:pStyle w:val="NoSpacing"/>
      </w:pPr>
      <w:r>
        <w:rPr>
          <w:i/>
          <w:iCs/>
          <w:color w:val="4472C4"/>
        </w:rPr>
        <w:t>‘We only need one physio and one OT because we are a small hospital and they easily manage the OPD and ward work’</w:t>
      </w:r>
    </w:p>
    <w:p w14:paraId="5337D1F4" w14:textId="77777777" w:rsidR="00566E0D" w:rsidRDefault="00566E0D" w:rsidP="00566E0D">
      <w:pPr>
        <w:pStyle w:val="NoSpacing"/>
      </w:pPr>
      <w:r>
        <w:rPr>
          <w:i/>
          <w:iCs/>
          <w:color w:val="4472C4"/>
        </w:rPr>
        <w:t>‘ We don’t need a rehab team at each hospital or CHC, we can bus the patients to the nearby institution once a month for assistance’</w:t>
      </w:r>
    </w:p>
    <w:p w14:paraId="1F7E6040" w14:textId="77777777" w:rsidR="00566E0D" w:rsidRDefault="00566E0D" w:rsidP="00566E0D">
      <w:pPr>
        <w:pStyle w:val="NoSpacing"/>
      </w:pPr>
      <w:r>
        <w:rPr>
          <w:i/>
          <w:iCs/>
          <w:color w:val="4472C4"/>
        </w:rPr>
        <w:t>‘It’s the parents responsibility to make sure they bring their child, we are not going to chase them’</w:t>
      </w:r>
    </w:p>
    <w:p w14:paraId="4E3F2C39" w14:textId="77777777" w:rsidR="00566E0D" w:rsidRDefault="00566E0D" w:rsidP="00566E0D">
      <w:pPr>
        <w:pStyle w:val="NoSpacing"/>
      </w:pPr>
      <w:r>
        <w:rPr>
          <w:i/>
          <w:iCs/>
          <w:color w:val="4472C4"/>
        </w:rPr>
        <w:t>‘We offer a group monthly at the hospital but they don’t come’</w:t>
      </w:r>
    </w:p>
    <w:p w14:paraId="689070A7" w14:textId="77777777" w:rsidR="00566E0D" w:rsidRDefault="00566E0D" w:rsidP="00566E0D">
      <w:pPr>
        <w:pStyle w:val="NoSpacing"/>
        <w:rPr>
          <w:color w:val="4472C4"/>
        </w:rPr>
      </w:pPr>
    </w:p>
    <w:p w14:paraId="14E7D9EF" w14:textId="4FD22CA1" w:rsidR="00566E0D" w:rsidRDefault="00566E0D" w:rsidP="00566E0D">
      <w:pPr>
        <w:pStyle w:val="NoSpacing"/>
        <w:rPr>
          <w:color w:val="4472C4"/>
        </w:rPr>
      </w:pPr>
      <w:r>
        <w:rPr>
          <w:color w:val="4472C4"/>
        </w:rPr>
        <w:t>The people are there. They exist. But for numerous reasons they are simply not accessing your service. The barriers have been very well reported, yet it seems as if this literature goes in one ear and out the other when designing, resourcing and implementing services.</w:t>
      </w:r>
    </w:p>
    <w:p w14:paraId="1DA05555" w14:textId="77777777" w:rsidR="00566E0D" w:rsidRDefault="00566E0D" w:rsidP="00566E0D">
      <w:pPr>
        <w:pStyle w:val="NoSpacing"/>
        <w:rPr>
          <w:color w:val="4472C4"/>
        </w:rPr>
      </w:pPr>
    </w:p>
    <w:p w14:paraId="2AF65780" w14:textId="77777777" w:rsidR="00566E0D" w:rsidRDefault="00566E0D" w:rsidP="00566E0D">
      <w:pPr>
        <w:pStyle w:val="Standard"/>
        <w:rPr>
          <w:color w:val="4472C4"/>
        </w:rPr>
      </w:pPr>
      <w:r>
        <w:rPr>
          <w:color w:val="4472C4"/>
        </w:rPr>
        <w:t>You have a monthly income (may be consumption). After you have spent on food, you have a portion of it left, some of which now needs to go to healthcare. This is your ‘capacity to pay’. You will be able to spend up to a point on healthcare, after which it will be unaffordable for you. This is your threshold, beyond which your spending is considered ‘catastrophic’. Either you will borrow money, or you will have to sell assets, or you will simply go without healthcare. This is then your choice, and it will be a balancing act between affordability and acceptability.</w:t>
      </w:r>
    </w:p>
    <w:p w14:paraId="47879720" w14:textId="77777777" w:rsidR="00566E0D" w:rsidRDefault="00566E0D" w:rsidP="00566E0D">
      <w:pPr>
        <w:pStyle w:val="Standard"/>
      </w:pPr>
      <w:r>
        <w:rPr>
          <w:color w:val="4472C4"/>
        </w:rPr>
        <w:t>Universal Health Care supports the principle that people are able to access health care based on need and not their ability to pay. Central to Universal Health Care are the concepts of financial risk protection and equity. Financial Risk Protection is monitored using population surveys and routine health service data, but typically considers cost to the patient at point of care and does not include transport costs in getting there. Thankfully there is a growing movement amongst health economists to lobby for the consideration of transport costs in calculations as studies have shown that this can contribute up to 70% of the costs of a seeking health care in Sub-Saharan Africa.</w:t>
      </w:r>
    </w:p>
    <w:p w14:paraId="37BD875C" w14:textId="58B42E48" w:rsidR="00566E0D" w:rsidRDefault="00566E0D" w:rsidP="00566E0D">
      <w:pPr>
        <w:pStyle w:val="Standard"/>
      </w:pPr>
      <w:r>
        <w:rPr>
          <w:color w:val="4472C4"/>
        </w:rPr>
        <w:t>In striving for equity, analysis of sub-groups within the population is critical. For example, in South Africa, it is estimated that a mere 1.</w:t>
      </w:r>
      <w:r>
        <w:rPr>
          <w:color w:val="4472C4"/>
        </w:rPr>
        <w:t>4</w:t>
      </w:r>
      <w:r>
        <w:rPr>
          <w:color w:val="4472C4"/>
        </w:rPr>
        <w:t xml:space="preserve">% of the population experience catastrophic health expenditure in seeking healthcare when the threshold is set at 10% expenditure of per capita income. However, is this the same for people with disabilities? And how much more or less do they forgo healthcare because of financial constraints as opposed to availability and acceptability of care on offer? We do not know. Because this level of information is not available. The aim of universal health coverage is NOT to have people land up with catastrophic health expenditure. But without being able to measure it in this sub-group, we can never honestly say we are making healthcare more universally accessible. It also means that we are </w:t>
      </w:r>
      <w:r>
        <w:rPr>
          <w:color w:val="4472C4"/>
        </w:rPr>
        <w:lastRenderedPageBreak/>
        <w:t>doomed towards making the patient fit the services rather than designing the services around the patient. Where resources are limited this becomes even more tempting.</w:t>
      </w:r>
    </w:p>
    <w:p w14:paraId="7CFE9B00" w14:textId="2FA7321B" w:rsidR="00566E0D" w:rsidRDefault="00566E0D" w:rsidP="00566E0D">
      <w:pPr>
        <w:pStyle w:val="Standard"/>
        <w:rPr>
          <w:color w:val="4472C4"/>
        </w:rPr>
      </w:pPr>
      <w:r>
        <w:rPr>
          <w:color w:val="4472C4"/>
        </w:rPr>
        <w:t xml:space="preserve">Slide </w:t>
      </w:r>
      <w:r>
        <w:rPr>
          <w:color w:val="4472C4"/>
        </w:rPr>
        <w:t>13</w:t>
      </w:r>
    </w:p>
    <w:p w14:paraId="4E8D533F" w14:textId="77777777" w:rsidR="00566E0D" w:rsidRDefault="00566E0D" w:rsidP="00566E0D">
      <w:pPr>
        <w:pStyle w:val="Standard"/>
      </w:pPr>
      <w:r>
        <w:rPr>
          <w:color w:val="4472C4"/>
        </w:rPr>
        <w:t>Tired of singing the same song of the raised costs of transport for people with disabilities in accessing services when requesting resources required for decentralizing care, our team decided to try and quantify it. Focusing on our cerebral palsy services, we used real service/intervention data post-COVID reforms, as well as reported household demographic and service information gathered during routine household screening and baseline rehab assessments for 80 surveyed homesteads. We then calculated estimated catastrophic health expenditure per capita using welfare grant income as a proxy for consumption data, and used rehab service statistics as a proxy for frequency of care required and reported household transport expenditure in accessing clinic and hospital services when honoring a cerebral palsy service appointment as a proxy for expenditure at point of care. We used an accepted formula for ascertaining per capita out of pocket expenditure. Using actual intervention data, we modelled this for cost to patient for services offered primarily at home level, versus clinic level versus a centralized hospital service, keeping any service data delivered at hospital level at hospital level, using the assumption that referral upwards under the current community based model was for an unavoidable reason.</w:t>
      </w:r>
    </w:p>
    <w:p w14:paraId="1EBF88A8" w14:textId="3C3A078E" w:rsidR="00566E0D" w:rsidRDefault="00566E0D" w:rsidP="00566E0D">
      <w:pPr>
        <w:pStyle w:val="Standard"/>
        <w:rPr>
          <w:color w:val="4472C4"/>
        </w:rPr>
      </w:pPr>
      <w:r>
        <w:rPr>
          <w:color w:val="4472C4"/>
        </w:rPr>
        <w:t xml:space="preserve">Slide </w:t>
      </w:r>
      <w:r>
        <w:rPr>
          <w:color w:val="4472C4"/>
        </w:rPr>
        <w:t>1</w:t>
      </w:r>
      <w:r>
        <w:rPr>
          <w:color w:val="4472C4"/>
        </w:rPr>
        <w:t>4</w:t>
      </w:r>
    </w:p>
    <w:p w14:paraId="34EA56AB" w14:textId="77777777" w:rsidR="00566E0D" w:rsidRDefault="00566E0D" w:rsidP="00566E0D">
      <w:pPr>
        <w:pStyle w:val="Standard"/>
      </w:pPr>
      <w:r>
        <w:rPr>
          <w:color w:val="4472C4"/>
        </w:rPr>
        <w:t>At the 10% threshold, 1.9% of South Africans are expected to be pushed into catastrophic health expenditure in accessing health care. Under our calculations- albeit with a number of explicit assumptions- 8% of households with a child with cerebral palsy would be pushed into catastrophic health expenditure even with the current home/community based model, versus 18% should we run the majority of services at clinic level, and a shocking 49% should we have to centralize services to district hospital level.</w:t>
      </w:r>
    </w:p>
    <w:p w14:paraId="1D0BBC75" w14:textId="4D070623" w:rsidR="00566E0D" w:rsidRDefault="00566E0D" w:rsidP="00566E0D">
      <w:pPr>
        <w:pStyle w:val="Standard"/>
        <w:rPr>
          <w:color w:val="4472C4"/>
        </w:rPr>
      </w:pPr>
      <w:r>
        <w:rPr>
          <w:color w:val="4472C4"/>
        </w:rPr>
        <w:t xml:space="preserve">Slide </w:t>
      </w:r>
      <w:r>
        <w:rPr>
          <w:color w:val="4472C4"/>
        </w:rPr>
        <w:t>1</w:t>
      </w:r>
      <w:r>
        <w:rPr>
          <w:color w:val="4472C4"/>
        </w:rPr>
        <w:t>5</w:t>
      </w:r>
    </w:p>
    <w:p w14:paraId="6649A247" w14:textId="1EC4FBC6" w:rsidR="00566E0D" w:rsidRDefault="00566E0D" w:rsidP="00566E0D">
      <w:pPr>
        <w:pStyle w:val="Standard"/>
        <w:rPr>
          <w:color w:val="4472C4"/>
        </w:rPr>
      </w:pPr>
      <w:r>
        <w:rPr>
          <w:color w:val="4472C4"/>
        </w:rPr>
        <w:t xml:space="preserve">The way we design and deliver our services has a big effect on the affordability and the acceptability of services. </w:t>
      </w:r>
      <w:r>
        <w:rPr>
          <w:color w:val="4472C4"/>
        </w:rPr>
        <w:t>Placing the responsibility on the patient and their family to access a scarce service in a broken system repeatedly, at a cost that is likely to impoverish the whole family and in a current service with highly variable quality, reliability and outcomes is hardly reasonable.</w:t>
      </w:r>
    </w:p>
    <w:p w14:paraId="74791BA0" w14:textId="3469B11D" w:rsidR="00566E0D" w:rsidRDefault="00566E0D" w:rsidP="00566E0D">
      <w:pPr>
        <w:pStyle w:val="Standard"/>
        <w:rPr>
          <w:color w:val="4472C4"/>
        </w:rPr>
      </w:pPr>
      <w:r>
        <w:rPr>
          <w:color w:val="4472C4"/>
        </w:rPr>
        <w:t>Slide 16:</w:t>
      </w:r>
    </w:p>
    <w:p w14:paraId="076821F0" w14:textId="77777777" w:rsidR="00566E0D" w:rsidRPr="00566E0D" w:rsidRDefault="00566E0D" w:rsidP="00566E0D">
      <w:pPr>
        <w:pStyle w:val="Standard"/>
        <w:numPr>
          <w:ilvl w:val="0"/>
          <w:numId w:val="4"/>
        </w:numPr>
        <w:rPr>
          <w:color w:val="4472C4"/>
        </w:rPr>
      </w:pPr>
      <w:r w:rsidRPr="00566E0D">
        <w:rPr>
          <w:color w:val="4472C4"/>
        </w:rPr>
        <w:t>Transport is a major driver of OOPE in accessing health for people with disabilities- even more so than those without- in low resource settings</w:t>
      </w:r>
    </w:p>
    <w:p w14:paraId="40EAB381" w14:textId="77777777" w:rsidR="00566E0D" w:rsidRPr="00566E0D" w:rsidRDefault="00566E0D" w:rsidP="00566E0D">
      <w:pPr>
        <w:pStyle w:val="Standard"/>
        <w:numPr>
          <w:ilvl w:val="0"/>
          <w:numId w:val="4"/>
        </w:numPr>
        <w:rPr>
          <w:color w:val="4472C4"/>
        </w:rPr>
      </w:pPr>
      <w:r w:rsidRPr="00566E0D">
        <w:rPr>
          <w:color w:val="4472C4"/>
        </w:rPr>
        <w:t>Access to, expenditure on and capacity to pay differs across families and is not directly proportional to distance from health facility. </w:t>
      </w:r>
    </w:p>
    <w:p w14:paraId="06F52200" w14:textId="77777777" w:rsidR="00566E0D" w:rsidRPr="00566E0D" w:rsidRDefault="00566E0D" w:rsidP="00566E0D">
      <w:pPr>
        <w:pStyle w:val="Standard"/>
        <w:numPr>
          <w:ilvl w:val="0"/>
          <w:numId w:val="4"/>
        </w:numPr>
        <w:rPr>
          <w:color w:val="4472C4"/>
        </w:rPr>
      </w:pPr>
      <w:r w:rsidRPr="00566E0D">
        <w:rPr>
          <w:color w:val="4472C4"/>
        </w:rPr>
        <w:t>Poverty, disability and unmet need are entwined. More attention to sub-group analysis is required. </w:t>
      </w:r>
    </w:p>
    <w:p w14:paraId="05260E14" w14:textId="77777777" w:rsidR="00566E0D" w:rsidRPr="00566E0D" w:rsidRDefault="00566E0D" w:rsidP="00566E0D">
      <w:pPr>
        <w:pStyle w:val="Standard"/>
        <w:numPr>
          <w:ilvl w:val="0"/>
          <w:numId w:val="4"/>
        </w:numPr>
        <w:rPr>
          <w:color w:val="4472C4"/>
        </w:rPr>
      </w:pPr>
      <w:r w:rsidRPr="00566E0D">
        <w:rPr>
          <w:color w:val="4472C4"/>
        </w:rPr>
        <w:t>This requires improvements in health information systems including population surveys and routine rehab data</w:t>
      </w:r>
    </w:p>
    <w:p w14:paraId="1FF6D1F6" w14:textId="2A65872A" w:rsidR="00566E0D" w:rsidRDefault="00DB13F1" w:rsidP="00566E0D">
      <w:pPr>
        <w:pStyle w:val="Standard"/>
        <w:numPr>
          <w:ilvl w:val="0"/>
          <w:numId w:val="4"/>
        </w:numPr>
        <w:rPr>
          <w:color w:val="4472C4"/>
        </w:rPr>
      </w:pPr>
      <w:r>
        <w:rPr>
          <w:color w:val="4472C4"/>
        </w:rPr>
        <w:lastRenderedPageBreak/>
        <w:t xml:space="preserve">And finally, this was simply a grass roots exercise and quantifying inequity. </w:t>
      </w:r>
      <w:r w:rsidR="00566E0D" w:rsidRPr="00566E0D">
        <w:rPr>
          <w:color w:val="4472C4"/>
        </w:rPr>
        <w:t>Formal quantitative research is required</w:t>
      </w:r>
    </w:p>
    <w:p w14:paraId="13FF2E14" w14:textId="0FB13B6A" w:rsidR="00566E0D" w:rsidRDefault="00DB13F1" w:rsidP="00DB13F1">
      <w:pPr>
        <w:pStyle w:val="Standard"/>
        <w:rPr>
          <w:color w:val="4472C4"/>
        </w:rPr>
      </w:pPr>
      <w:r>
        <w:rPr>
          <w:color w:val="4472C4"/>
        </w:rPr>
        <w:t>Slide 17</w:t>
      </w:r>
    </w:p>
    <w:p w14:paraId="3738BB3E" w14:textId="5536C58A" w:rsidR="00DB13F1" w:rsidRDefault="00DB13F1" w:rsidP="00DB13F1">
      <w:pPr>
        <w:pStyle w:val="Standard"/>
        <w:spacing w:before="240" w:after="240" w:line="100" w:lineRule="atLeast"/>
      </w:pPr>
      <w:r>
        <w:rPr>
          <w:color w:val="4472C4"/>
        </w:rPr>
        <w:t xml:space="preserve">My second story is about using a crisis well, in order to initiate some key reforms at grass roots level. </w:t>
      </w:r>
      <w:r>
        <w:rPr>
          <w:rFonts w:ascii="Arial" w:eastAsia="Times New Roman" w:hAnsi="Arial" w:cs="Arial"/>
          <w:color w:val="0000FF"/>
        </w:rPr>
        <w:t>South Africa entered into a sudden, severe and prolonged lockdown in response to COVID that had significant socioeconomic and social consequences. Additionally, service delivery disruptions and a tendency to centralize services when they were available worsened access -  including in the health sector and particularly for the poorest. Little guidance was given to rehabilitation staff regarding how to restructure and prioritize their services to protect the most vulnerable sub-groups. The majority, under pressure from institutional management, centralized their services and canceled outreach. One particular service did not.</w:t>
      </w:r>
    </w:p>
    <w:p w14:paraId="167417F0" w14:textId="77777777" w:rsidR="00DB13F1" w:rsidRDefault="00DB13F1" w:rsidP="00DB13F1">
      <w:pPr>
        <w:pStyle w:val="Standard"/>
        <w:spacing w:after="120" w:line="100" w:lineRule="atLeast"/>
      </w:pPr>
      <w:r>
        <w:rPr>
          <w:rFonts w:ascii="Arial" w:eastAsia="Times New Roman" w:hAnsi="Arial" w:cs="Arial"/>
          <w:color w:val="0000FF"/>
        </w:rPr>
        <w:t>This rehabilitation service is attached to a medium sized public sector hospital situated in far northern rural South Africa. Its multi-disciplinary rehabilitation team provides generalist services across inpatient, outpatient, clinic and home/community levels, and works collaboratively with local donor-funded NPOs including those providing peer support services. .</w:t>
      </w:r>
    </w:p>
    <w:p w14:paraId="7EC70091" w14:textId="16831DE4" w:rsidR="00DB13F1" w:rsidRDefault="00DB13F1" w:rsidP="00DB13F1">
      <w:pPr>
        <w:pStyle w:val="Standard"/>
        <w:spacing w:after="120" w:line="100" w:lineRule="atLeast"/>
      </w:pPr>
      <w:r>
        <w:rPr>
          <w:rFonts w:ascii="Arial" w:eastAsia="Times New Roman" w:hAnsi="Arial" w:cs="Arial"/>
          <w:color w:val="0000FF"/>
        </w:rPr>
        <w:t xml:space="preserve">Slide </w:t>
      </w:r>
      <w:r>
        <w:rPr>
          <w:rFonts w:ascii="Arial" w:eastAsia="Times New Roman" w:hAnsi="Arial" w:cs="Arial"/>
          <w:color w:val="0000FF"/>
        </w:rPr>
        <w:t>18</w:t>
      </w:r>
    </w:p>
    <w:p w14:paraId="336DA53A" w14:textId="77777777" w:rsidR="00DB13F1" w:rsidRDefault="00DB13F1" w:rsidP="00DB13F1">
      <w:pPr>
        <w:pStyle w:val="Standard"/>
        <w:spacing w:after="120" w:line="100" w:lineRule="atLeast"/>
      </w:pPr>
      <w:r>
        <w:rPr>
          <w:rFonts w:ascii="Arial" w:eastAsia="Times New Roman" w:hAnsi="Arial" w:cs="Arial"/>
          <w:color w:val="0000FF"/>
        </w:rPr>
        <w:t>In the light of the profound socioeconomic impact that a severe lockdown was having, this rehabilitation team took stock of its current approach to service delivery and capacity for reform. The team made the decision to shift all moderate and severe disability services from clinic or hospital to homestead level. This required the team to address key governance issues, engage in more task sharing, amalgamate various previously separate patient databases, engage in explicit priority setting exercises and develop an electronic patient management system to coordinate types and levels of care required. The team conducted baseline needs assessments at each home visit. Particular emphasis was placed on tracing of priority patients previously lost to follow up, which was found to be strongly correlated with household income poverty, and transport costs in reaching health facilities.</w:t>
      </w:r>
    </w:p>
    <w:p w14:paraId="106860F0" w14:textId="77777777" w:rsidR="00DB13F1" w:rsidRDefault="00DB13F1" w:rsidP="00DB13F1">
      <w:pPr>
        <w:pStyle w:val="Standard"/>
        <w:spacing w:after="120" w:line="100" w:lineRule="atLeast"/>
      </w:pPr>
      <w:r>
        <w:rPr>
          <w:rFonts w:ascii="Arial" w:eastAsia="Times New Roman" w:hAnsi="Arial" w:cs="Arial"/>
          <w:color w:val="0000FF"/>
        </w:rPr>
        <w:t>Strengthening the integration of peer supporters into the rehabilitation team brought a critical end-user perspective to service design and delivery, and improvements in integration of rehabilitation services into existing primary health care structures strengthened the sustainability of the approach. High levels of unmet need, inefficiency and poorly coordinated care across all areas of service were found.</w:t>
      </w:r>
    </w:p>
    <w:p w14:paraId="0F5B99E1" w14:textId="5DF43494" w:rsidR="00DB13F1" w:rsidRDefault="00DB13F1" w:rsidP="00DB13F1">
      <w:pPr>
        <w:pStyle w:val="Standard"/>
        <w:spacing w:after="120" w:line="100" w:lineRule="atLeast"/>
        <w:rPr>
          <w:rFonts w:ascii="Arial" w:eastAsia="Times New Roman" w:hAnsi="Arial" w:cs="Arial"/>
          <w:color w:val="0000FF"/>
        </w:rPr>
      </w:pPr>
      <w:r>
        <w:rPr>
          <w:rFonts w:ascii="Arial" w:eastAsia="Times New Roman" w:hAnsi="Arial" w:cs="Arial"/>
          <w:color w:val="0000FF"/>
        </w:rPr>
        <w:t xml:space="preserve">Slide </w:t>
      </w:r>
      <w:r>
        <w:rPr>
          <w:rFonts w:ascii="Arial" w:eastAsia="Times New Roman" w:hAnsi="Arial" w:cs="Arial"/>
          <w:color w:val="0000FF"/>
        </w:rPr>
        <w:t>19</w:t>
      </w:r>
    </w:p>
    <w:p w14:paraId="482AF32D" w14:textId="77777777" w:rsidR="00DB13F1" w:rsidRDefault="00DB13F1" w:rsidP="00DB13F1">
      <w:pPr>
        <w:pStyle w:val="Standard"/>
        <w:spacing w:after="120" w:line="100" w:lineRule="atLeast"/>
      </w:pPr>
      <w:r>
        <w:rPr>
          <w:rFonts w:ascii="Arial" w:eastAsia="Times New Roman" w:hAnsi="Arial" w:cs="Arial"/>
          <w:color w:val="0000FF"/>
        </w:rPr>
        <w:t>After 1.5 years, the team embarked on a series of program audits to assess the outcomes of the new reforms. Within the cerebral palsy services alone, in the 0-5 year old category, service coverage had increased from 58% to 78%, with children now receiving an average of 6 sessions in 6 months rather than a single session every 6 months. Similar outcomes were found across other age group categories. The average age at which a child with cerebral palsy received their first seating device improved, and wheelchair coverage rate for the 0-5's rose from from 32% to 83%. Before the reforms, seating reviews were not conducted for this group at all, but at time of audit, 64% had received two or more seating reviews within the last year. 35 children previously lost to follow up were brought back into the system.</w:t>
      </w:r>
    </w:p>
    <w:p w14:paraId="32BFE628" w14:textId="75A516CB" w:rsidR="00DB13F1" w:rsidRDefault="00DB13F1" w:rsidP="00DB13F1">
      <w:pPr>
        <w:pStyle w:val="Standard"/>
        <w:spacing w:after="120" w:line="100" w:lineRule="atLeast"/>
        <w:rPr>
          <w:rFonts w:ascii="Arial" w:eastAsia="Times New Roman" w:hAnsi="Arial" w:cs="Arial"/>
          <w:color w:val="0000FF"/>
        </w:rPr>
      </w:pPr>
      <w:r>
        <w:rPr>
          <w:rFonts w:ascii="Arial" w:eastAsia="Times New Roman" w:hAnsi="Arial" w:cs="Arial"/>
          <w:color w:val="0000FF"/>
        </w:rPr>
        <w:t xml:space="preserve">Slide </w:t>
      </w:r>
      <w:r>
        <w:rPr>
          <w:rFonts w:ascii="Arial" w:eastAsia="Times New Roman" w:hAnsi="Arial" w:cs="Arial"/>
          <w:color w:val="0000FF"/>
        </w:rPr>
        <w:t>20</w:t>
      </w:r>
    </w:p>
    <w:p w14:paraId="06ED5A16" w14:textId="77777777" w:rsidR="00DB13F1" w:rsidRDefault="00DB13F1" w:rsidP="00DB13F1">
      <w:pPr>
        <w:pStyle w:val="Standard"/>
        <w:spacing w:after="120" w:line="100" w:lineRule="atLeast"/>
      </w:pPr>
      <w:r>
        <w:rPr>
          <w:rFonts w:ascii="Arial" w:eastAsia="Times New Roman" w:hAnsi="Arial" w:cs="Arial"/>
          <w:color w:val="0000FF"/>
        </w:rPr>
        <w:t xml:space="preserve">These changes represented a significant increase in coverage, skewed towards those with the most difficulty accessing healthcare services. They arose from improvements in data </w:t>
      </w:r>
      <w:r>
        <w:rPr>
          <w:rFonts w:ascii="Arial" w:eastAsia="Times New Roman" w:hAnsi="Arial" w:cs="Arial"/>
          <w:color w:val="0000FF"/>
        </w:rPr>
        <w:lastRenderedPageBreak/>
        <w:t>management and coordination of care, increasing the involvement of end users in service planning and delivery, and a focus on decentralizing care to community level. Whereas previously the onus was on families to attend appointments at a health facility, the new approach made the team proactive in following people up, in coordinating care across professions and services, and in working holistically with the individual in their home context.</w:t>
      </w:r>
    </w:p>
    <w:p w14:paraId="5AA5B164" w14:textId="5968672D" w:rsidR="00DB13F1" w:rsidRDefault="00DB13F1" w:rsidP="00DB13F1">
      <w:pPr>
        <w:pStyle w:val="Standard"/>
        <w:spacing w:after="120" w:line="100" w:lineRule="atLeast"/>
        <w:rPr>
          <w:rFonts w:ascii="Arial" w:eastAsia="Times New Roman" w:hAnsi="Arial" w:cs="Arial"/>
          <w:color w:val="0000FF"/>
        </w:rPr>
      </w:pPr>
      <w:r>
        <w:rPr>
          <w:rFonts w:ascii="Arial" w:eastAsia="Times New Roman" w:hAnsi="Arial" w:cs="Arial"/>
          <w:color w:val="0000FF"/>
        </w:rPr>
        <w:t>While the reforms were not specifically aimed at improving CP services, this program reflects the positive effects experienced across the rehab service due to the system innovations.</w:t>
      </w:r>
    </w:p>
    <w:p w14:paraId="154B05E3" w14:textId="79BF0248" w:rsidR="00DB13F1" w:rsidRDefault="006C1D7B" w:rsidP="00DB13F1">
      <w:pPr>
        <w:pStyle w:val="Standard"/>
        <w:spacing w:after="120" w:line="100" w:lineRule="atLeast"/>
        <w:rPr>
          <w:rFonts w:ascii="Arial" w:eastAsia="Times New Roman" w:hAnsi="Arial" w:cs="Arial"/>
          <w:color w:val="0000FF"/>
        </w:rPr>
      </w:pPr>
      <w:r>
        <w:rPr>
          <w:rFonts w:ascii="Arial" w:eastAsia="Times New Roman" w:hAnsi="Arial" w:cs="Arial"/>
          <w:color w:val="0000FF"/>
        </w:rPr>
        <w:t>Slide 21</w:t>
      </w:r>
    </w:p>
    <w:p w14:paraId="2FC78E53" w14:textId="1E83C98A" w:rsidR="006C1D7B" w:rsidRDefault="006C1D7B" w:rsidP="00DB13F1">
      <w:pPr>
        <w:pStyle w:val="Standard"/>
        <w:spacing w:after="120" w:line="100" w:lineRule="atLeast"/>
        <w:rPr>
          <w:rFonts w:ascii="Arial" w:eastAsia="Times New Roman" w:hAnsi="Arial" w:cs="Arial"/>
          <w:color w:val="0000FF"/>
        </w:rPr>
      </w:pPr>
      <w:r>
        <w:rPr>
          <w:rFonts w:ascii="Arial" w:eastAsia="Times New Roman" w:hAnsi="Arial" w:cs="Arial"/>
          <w:color w:val="0000FF"/>
        </w:rPr>
        <w:t>Again, beware of your assumptions. Without sufficient data, they are just that.</w:t>
      </w:r>
    </w:p>
    <w:p w14:paraId="40D77BE3" w14:textId="215F7579" w:rsidR="006C1D7B" w:rsidRDefault="006C1D7B" w:rsidP="00DB13F1">
      <w:pPr>
        <w:pStyle w:val="Standard"/>
        <w:spacing w:after="120" w:line="100" w:lineRule="atLeast"/>
        <w:rPr>
          <w:rFonts w:ascii="Arial" w:eastAsia="Times New Roman" w:hAnsi="Arial" w:cs="Arial"/>
          <w:color w:val="0000FF"/>
        </w:rPr>
      </w:pPr>
      <w:r>
        <w:rPr>
          <w:rFonts w:ascii="Arial" w:eastAsia="Times New Roman" w:hAnsi="Arial" w:cs="Arial"/>
          <w:color w:val="0000FF"/>
        </w:rPr>
        <w:t>Slide 22:</w:t>
      </w:r>
    </w:p>
    <w:p w14:paraId="662A7227" w14:textId="11D6DD1E" w:rsidR="006C1D7B" w:rsidRDefault="006C1D7B" w:rsidP="00DB13F1">
      <w:pPr>
        <w:pStyle w:val="Standard"/>
        <w:spacing w:after="120" w:line="100" w:lineRule="atLeast"/>
        <w:rPr>
          <w:rFonts w:ascii="Arial" w:eastAsia="Times New Roman" w:hAnsi="Arial" w:cs="Arial"/>
          <w:color w:val="0000FF"/>
        </w:rPr>
      </w:pPr>
      <w:r>
        <w:rPr>
          <w:rFonts w:ascii="Arial" w:eastAsia="Times New Roman" w:hAnsi="Arial" w:cs="Arial"/>
          <w:color w:val="0000FF"/>
        </w:rPr>
        <w:t>My third story has implications about how we practice, but also questions about what we will cover for the outcomes we want, as well as what reimbursement approaches we will use.</w:t>
      </w:r>
    </w:p>
    <w:p w14:paraId="54B1C909" w14:textId="4ADA48A2" w:rsidR="00D30714" w:rsidRDefault="00D30714" w:rsidP="00DB13F1">
      <w:pPr>
        <w:pStyle w:val="Standard"/>
        <w:spacing w:after="120" w:line="100" w:lineRule="atLeast"/>
      </w:pPr>
      <w:r>
        <w:t>Slide 23</w:t>
      </w:r>
    </w:p>
    <w:p w14:paraId="0623433B" w14:textId="6307C2F5" w:rsidR="006C1D7B" w:rsidRDefault="00D30714" w:rsidP="00DB13F1">
      <w:pPr>
        <w:pStyle w:val="Standard"/>
        <w:spacing w:after="120" w:line="100" w:lineRule="atLeast"/>
      </w:pPr>
      <w:r>
        <w:t>M</w:t>
      </w:r>
      <w:r w:rsidR="00C937B1">
        <w:t>is</w:t>
      </w:r>
      <w:r>
        <w:t xml:space="preserve">s X </w:t>
      </w:r>
      <w:r w:rsidR="00C937B1">
        <w:t>was born into a traditional family who lived in a very rural area far away from even the closest clinic or road. Because of where she was born and what life prospects were available, Ms X never obtained a birth certificate or identity document. She was a wayward teenager and soon found herself pregnant with her first child. After the fifth child was born without her having an identity document, her father put his foot down and told her he would accompany her to the closest home affairs three hours away to start the laborious process. That night Miss X ran away to the city, where she remained for many years. Eventually she became critically ill. Her dubious employer put her on a taxi and sent her home to her rural family. She was admitted in the local hospital and discharged home</w:t>
      </w:r>
      <w:r w:rsidR="008E66ED">
        <w:t xml:space="preserve"> with a poor prognosis. She had TB meningitis and TB spine. Because she had no birth certificate or ID, she could not access any welfare grant, and the family of five adults was already trying to survive off a single old age pension of R1900 a month. Almost immediately upon returning home, her indwelling catheter became blocked and the family had to pay R500 to hire a vehicle late at night to take her back to hospital. This happened several times. Furthermore, in attempting to apply for a birth certificate and ID at the home affairs office 3 hours away, they had to hire a vehicle at R3000 a trip because she could not use a standard taxi. After 3 failed attempts at this, the family threw up their hands and said ‘enough!’. Miss X was considered a curse and was denied further financial or physical assistance, although she was allowed to continue to reside within the family homestead. Because of where she lived, and because of inadequate information systems and case management at the local hospital, Miss X had been lost to follow up. During COVID lockdown, </w:t>
      </w:r>
      <w:r w:rsidR="00A654FD">
        <w:t>after amalgamating several databases and prioritizing those lost to follow up, Miss X was miraculously traced. Amazingly she had not developed pressure sores or renal failure as a high paraplegic despite no bladder or bowel management or rehab input. However, due to her TB meningitis, she had severe upper limb ataxia and was unable to perform even simple tasks such as shelling a peanut or buttoning her shirt. She was also unable to sit up without support, roll over or perform any self care task. She was severely deconditioned.</w:t>
      </w:r>
    </w:p>
    <w:p w14:paraId="3BCF0D3E" w14:textId="201621AC" w:rsidR="00A654FD" w:rsidRDefault="00A654FD" w:rsidP="00DB13F1">
      <w:pPr>
        <w:pStyle w:val="Standard"/>
        <w:spacing w:after="120" w:line="100" w:lineRule="atLeast"/>
      </w:pPr>
      <w:r>
        <w:t>The rehab team</w:t>
      </w:r>
      <w:r w:rsidR="002651E4">
        <w:t xml:space="preserve"> noted that every time they entered the homestead, the other adults would give them a cursory greeting but then disappear. The only adult who took some interest in assisting with the rehabilitation sessions was a neighbour. Despite collaborative goals having been set, and despite additional funding having been raised to purchase Miss X a bed to make transfers easier, monthly food parcels for the family</w:t>
      </w:r>
      <w:r w:rsidR="00E55C33">
        <w:t>, cement ramps and paths built</w:t>
      </w:r>
      <w:r w:rsidR="002651E4">
        <w:t xml:space="preserve"> and a borehole sunk in the yard, the family remained distant. These donations were temporary, and having not having seen a health worker for a few years, they had little faith in continuity of care. Miss X was admitted to hospital for 2 months of intensive rehab into which she threw heart and soul. Upon discharge she was able to dress and wash </w:t>
      </w:r>
      <w:r w:rsidR="002651E4">
        <w:lastRenderedPageBreak/>
        <w:t xml:space="preserve">herself, </w:t>
      </w:r>
      <w:r w:rsidR="00E55C33">
        <w:t xml:space="preserve">do a single level transfer between wheelchair and bed, propel up an incline, assist with preparing food and able to self-catheterize herself. </w:t>
      </w:r>
    </w:p>
    <w:p w14:paraId="466414A2" w14:textId="31D65F34" w:rsidR="00E55C33" w:rsidRDefault="00E55C33" w:rsidP="00DB13F1">
      <w:pPr>
        <w:pStyle w:val="Standard"/>
        <w:spacing w:after="120" w:line="100" w:lineRule="atLeast"/>
      </w:pPr>
      <w:r>
        <w:t>On a follow up home visit, it was found she had regressed back to baseline. Her family were not interested in assisting her to become more independent, and she remained sitting on a grass mat- not even in her wheelchair- in her own urine day in and day out. The rehab team, unwilling to accept defeat yet acknowledging failure, liaised with home affairs officials, partnered with a local NPO and personally transported her to her home affairs appointments. After a full year, Miss X finally had a birth certificate, an ID and a welfare grant. 6 months after obtaining her welfare grant, Miss X had started to build herself a one room, was able to voice her opinions and make her own decisions, was able to propel herself over sandy terrain</w:t>
      </w:r>
      <w:r w:rsidR="000C7202">
        <w:t xml:space="preserve"> and use her water pump independently, dress herself and manage her own bladder. As a contributing member of the family- now on a sustainable basis- she was finally given due respect and support.</w:t>
      </w:r>
    </w:p>
    <w:p w14:paraId="080F23E9" w14:textId="7C144BD7" w:rsidR="000C7202" w:rsidRDefault="006F5884" w:rsidP="00DB13F1">
      <w:pPr>
        <w:pStyle w:val="Standard"/>
        <w:spacing w:after="120" w:line="100" w:lineRule="atLeast"/>
      </w:pPr>
      <w:r>
        <w:t>Slide 24</w:t>
      </w:r>
    </w:p>
    <w:p w14:paraId="31AE62DB" w14:textId="3094FFC6" w:rsidR="006F5884" w:rsidRDefault="006F5884" w:rsidP="00DB13F1">
      <w:pPr>
        <w:pStyle w:val="Standard"/>
        <w:spacing w:after="120" w:line="100" w:lineRule="atLeast"/>
      </w:pPr>
      <w:r>
        <w:t xml:space="preserve">The moral of the story is that the best interventions in the world amount to naught if family support and basic prerequisites for engaging in rehab are not in place. Sticking to a narrow medical model or within the mandate of Health will rarely give you the outcomes that are desperately needed and may even contribute towards wasted expenditure. Whilst it is all nice and well to say ‘refer to home affairs, refer to social worker’, </w:t>
      </w:r>
      <w:r w:rsidR="000E7BD5">
        <w:t xml:space="preserve">access to much needed documentation and government services may be beyond the financial and social support means of the very people who need it most, and often as a rehab worker in the field you find that the responsibility falls on you. This has implications for rehab workforce planning as well as benefits packages, contracting and renumeration strategies. </w:t>
      </w:r>
      <w:r w:rsidR="00D20AF4">
        <w:t>And lastly, this client would have most definitely remained lost to follow up without sufficient information systems, explicit priority setting and active tracing.</w:t>
      </w:r>
    </w:p>
    <w:p w14:paraId="5F2511B0" w14:textId="403D3271" w:rsidR="00D20AF4" w:rsidRDefault="00D20AF4" w:rsidP="00DB13F1">
      <w:pPr>
        <w:pStyle w:val="Standard"/>
        <w:spacing w:after="120" w:line="100" w:lineRule="atLeast"/>
      </w:pPr>
      <w:r>
        <w:t>Slide 25</w:t>
      </w:r>
    </w:p>
    <w:p w14:paraId="06C4ECC0" w14:textId="3C931CDE" w:rsidR="00D20AF4" w:rsidRDefault="00D20AF4" w:rsidP="00DB13F1">
      <w:pPr>
        <w:pStyle w:val="Standard"/>
        <w:spacing w:after="120" w:line="100" w:lineRule="atLeast"/>
      </w:pPr>
      <w:r>
        <w:t xml:space="preserve">My final story is around managing assistive device budgets to meet needs on the ground, the effects of centralizing care and analyzing sub-group responses, and in and incorporating end users into service delivery. Budgets will never meet the need, and creative ways to keep costs low without compromising access to care and appropriateness of device must be found. Every year, this department receives </w:t>
      </w:r>
      <w:r w:rsidR="00C63D1F">
        <w:t xml:space="preserve">a wheelchair and accessories budget of between 80 and 400 000 rands, of which, due to procurement challenges, only around 75% is ultimately spent. However, projected need is conservatively around 800 000 rands per annum. This shortfall must be made up in a few ways- firstly by treating wheelchairs as a pool rather than belonging solely to a single person for device lifespan, secondly by fostering a strong community footprint and incorporating wheelchair users as wheelchair repairers and peer supporters, thereby facilitating retention in care through follow up visits, thirdly through regular decentralized wheelchair maintenance, repair and reseating services and fourthly through supplementary donor support. </w:t>
      </w:r>
    </w:p>
    <w:p w14:paraId="72C73B33" w14:textId="76BF5492" w:rsidR="00C63D1F" w:rsidRDefault="00C63D1F" w:rsidP="00DB13F1">
      <w:pPr>
        <w:pStyle w:val="Standard"/>
        <w:spacing w:after="120" w:line="100" w:lineRule="atLeast"/>
      </w:pPr>
      <w:r>
        <w:t>Slide 26</w:t>
      </w:r>
    </w:p>
    <w:p w14:paraId="251C5D73" w14:textId="29FBE134" w:rsidR="00C63D1F" w:rsidRDefault="00C63D1F" w:rsidP="00DB13F1">
      <w:pPr>
        <w:pStyle w:val="Standard"/>
        <w:spacing w:after="120" w:line="100" w:lineRule="atLeast"/>
      </w:pPr>
      <w:r>
        <w:t>This is data depicting the number of follow up seating reviews per category of user over a number of years. It is not yet a rate, which would require a denominator per category- as this still requires further refining our databases</w:t>
      </w:r>
      <w:r w:rsidR="001F447B">
        <w:t xml:space="preserve">. This rehabilitation department had offered a 5 days a week wheelchair repair service since 2004. It attracted mainly users from the immediate surroundings, apart from the odd client from a remote area who brought in a severely dilapidated chair for repairs or replacement. Because of a lack of training, wheelchair seating reviews were not conducted. In 2015, a few therapists attended post graduate wheelchair seating training. Additionally, the wheelchair repairers were trained as peer supporters. The wheelchair maintenance, repair and seating review service was decentralized to clinic </w:t>
      </w:r>
      <w:r w:rsidR="001F447B">
        <w:lastRenderedPageBreak/>
        <w:t>level, and attendance was facilitated in advance by the wheelchair repairers phoning the clients and alerting them to the dates. Attendance spiked in all categories. Wheelchair skills and counselling were added to the services offered at these wheelchair outreach clinics.</w:t>
      </w:r>
    </w:p>
    <w:p w14:paraId="3EFB537E" w14:textId="6D8BCC03" w:rsidR="001F447B" w:rsidRDefault="001F447B" w:rsidP="00DB13F1">
      <w:pPr>
        <w:pStyle w:val="Standard"/>
        <w:spacing w:after="120" w:line="100" w:lineRule="atLeast"/>
      </w:pPr>
      <w:r>
        <w:t>Sadly in 2017, the lead therapist was transferred to National department of health for 8 months, during which time wheelchair outreach clinics stopped. A</w:t>
      </w:r>
      <w:r w:rsidR="008B6452">
        <w:t>dult a</w:t>
      </w:r>
      <w:r>
        <w:t>dvanced users- who are those with the most severe postural deformities requiring specialist seating interventions- remained in care only because they had the cellphone number of the lead therapist, were willing to travel in for the service, and</w:t>
      </w:r>
      <w:r w:rsidR="008B6452">
        <w:t xml:space="preserve"> made a booking to see her on the few occasions she returned to base hospital during those 8 months.</w:t>
      </w:r>
    </w:p>
    <w:p w14:paraId="38344AAA" w14:textId="46682D65" w:rsidR="008B6452" w:rsidRDefault="008B6452" w:rsidP="00DB13F1">
      <w:pPr>
        <w:pStyle w:val="Standard"/>
        <w:spacing w:after="120" w:line="100" w:lineRule="atLeast"/>
      </w:pPr>
      <w:r>
        <w:t>And then came the car crises, stock outs of cushions and spares, and some internal governance issues. Eventually all categories dropped off- even though the wheelchair service as still available five days a week at the district hospital. COVID was the final nail in the coffin. Thankfully the team chose to decentralize services to homestead level. This identified many seating and repair issues which were addressed accordingly. Intermediate and advanced reviews- the categories which we are most concerned about- rose exponentially, well beyond levels reached during the clinic outreach. However, basic low active and basic active user reviews rose but only slightly, and resuming clinic outreaches between waves must urgently be done.</w:t>
      </w:r>
    </w:p>
    <w:p w14:paraId="25A26605" w14:textId="2292E9DC" w:rsidR="008B6452" w:rsidRDefault="008B6452" w:rsidP="00DB13F1">
      <w:pPr>
        <w:pStyle w:val="Standard"/>
        <w:spacing w:after="120" w:line="100" w:lineRule="atLeast"/>
      </w:pPr>
      <w:r>
        <w:t>Slide 27</w:t>
      </w:r>
    </w:p>
    <w:p w14:paraId="7922503F" w14:textId="5C24F565" w:rsidR="008B6452" w:rsidRDefault="005B0794" w:rsidP="00DB13F1">
      <w:pPr>
        <w:pStyle w:val="Standard"/>
        <w:spacing w:after="120" w:line="100" w:lineRule="atLeast"/>
      </w:pPr>
      <w:r>
        <w:t xml:space="preserve">Besides the essential role that end users can play in delivering a service and the critical need for further seating training for therapists if they are to meet the needs in the community, this data highlights the profound effect that small changes to service delivery have on retention in care for those with moderate and severe disabilities. We need to move beyond measuring wheelchair issuing rate as a proxy for access to care and towards seating review rate or wheelchair repair rates as a proxy for quality of care and retention in care. And lastly, it drives home the point about disaggregated data and sub-group analysis. </w:t>
      </w:r>
    </w:p>
    <w:p w14:paraId="10E71AC1" w14:textId="20929E8C" w:rsidR="005B0794" w:rsidRDefault="005B0794" w:rsidP="00DB13F1">
      <w:pPr>
        <w:pStyle w:val="Standard"/>
        <w:spacing w:after="120" w:line="100" w:lineRule="atLeast"/>
      </w:pPr>
      <w:r>
        <w:t>Slide 28</w:t>
      </w:r>
    </w:p>
    <w:p w14:paraId="33D9251F" w14:textId="6B9F6389" w:rsidR="005B0794" w:rsidRDefault="005B0794" w:rsidP="00DB13F1">
      <w:pPr>
        <w:pStyle w:val="Standard"/>
        <w:spacing w:after="120" w:line="100" w:lineRule="atLeast"/>
      </w:pPr>
      <w:r>
        <w:t>The challenges facing disability and rehab are many,</w:t>
      </w:r>
      <w:r w:rsidR="00C05254">
        <w:t xml:space="preserve"> but can we address them in order to truly drive universal health coverage forward for those who need it most?</w:t>
      </w:r>
    </w:p>
    <w:p w14:paraId="51CDEE51" w14:textId="77777777" w:rsidR="000E7BD5" w:rsidRDefault="000E7BD5" w:rsidP="00DB13F1">
      <w:pPr>
        <w:pStyle w:val="Standard"/>
        <w:spacing w:after="120" w:line="100" w:lineRule="atLeast"/>
      </w:pPr>
    </w:p>
    <w:p w14:paraId="1D41018A" w14:textId="21933A66" w:rsidR="00566E0D" w:rsidRPr="00566E0D" w:rsidRDefault="00566E0D" w:rsidP="00DB13F1">
      <w:pPr>
        <w:pStyle w:val="Standard"/>
        <w:rPr>
          <w:color w:val="4472C4"/>
        </w:rPr>
      </w:pPr>
    </w:p>
    <w:p w14:paraId="55BC745C" w14:textId="77777777" w:rsidR="00566E0D" w:rsidRDefault="00566E0D" w:rsidP="00566E0D">
      <w:pPr>
        <w:pStyle w:val="Standard"/>
        <w:rPr>
          <w:color w:val="4472C4"/>
        </w:rPr>
      </w:pPr>
    </w:p>
    <w:p w14:paraId="15DF12D8" w14:textId="77777777" w:rsidR="00C2069A" w:rsidRPr="00C2069A" w:rsidRDefault="00C2069A" w:rsidP="00C2069A"/>
    <w:p w14:paraId="0DC918BE" w14:textId="77777777" w:rsidR="00C2069A" w:rsidRPr="006D67DE" w:rsidRDefault="00C2069A" w:rsidP="006D67DE"/>
    <w:p w14:paraId="4705CC0D" w14:textId="77777777" w:rsidR="000B1059" w:rsidRPr="000B1059" w:rsidRDefault="000B1059" w:rsidP="006D67DE"/>
    <w:p w14:paraId="3DD35841" w14:textId="77777777" w:rsidR="000B1059" w:rsidRPr="00473598" w:rsidRDefault="000B1059">
      <w:pPr>
        <w:rPr>
          <w:lang w:val="en-ZA"/>
        </w:rPr>
      </w:pPr>
    </w:p>
    <w:sectPr w:rsidR="000B1059" w:rsidRPr="0047359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46153"/>
    <w:multiLevelType w:val="hybridMultilevel"/>
    <w:tmpl w:val="E74A82E6"/>
    <w:lvl w:ilvl="0" w:tplc="2B722F14">
      <w:start w:val="1"/>
      <w:numFmt w:val="bullet"/>
      <w:lvlText w:val="•"/>
      <w:lvlJc w:val="left"/>
      <w:pPr>
        <w:tabs>
          <w:tab w:val="num" w:pos="720"/>
        </w:tabs>
        <w:ind w:left="720" w:hanging="360"/>
      </w:pPr>
      <w:rPr>
        <w:rFonts w:ascii="Arial" w:hAnsi="Arial" w:hint="default"/>
      </w:rPr>
    </w:lvl>
    <w:lvl w:ilvl="1" w:tplc="9D72C6BE" w:tentative="1">
      <w:start w:val="1"/>
      <w:numFmt w:val="bullet"/>
      <w:lvlText w:val="•"/>
      <w:lvlJc w:val="left"/>
      <w:pPr>
        <w:tabs>
          <w:tab w:val="num" w:pos="1440"/>
        </w:tabs>
        <w:ind w:left="1440" w:hanging="360"/>
      </w:pPr>
      <w:rPr>
        <w:rFonts w:ascii="Arial" w:hAnsi="Arial" w:hint="default"/>
      </w:rPr>
    </w:lvl>
    <w:lvl w:ilvl="2" w:tplc="F98056D2" w:tentative="1">
      <w:start w:val="1"/>
      <w:numFmt w:val="bullet"/>
      <w:lvlText w:val="•"/>
      <w:lvlJc w:val="left"/>
      <w:pPr>
        <w:tabs>
          <w:tab w:val="num" w:pos="2160"/>
        </w:tabs>
        <w:ind w:left="2160" w:hanging="360"/>
      </w:pPr>
      <w:rPr>
        <w:rFonts w:ascii="Arial" w:hAnsi="Arial" w:hint="default"/>
      </w:rPr>
    </w:lvl>
    <w:lvl w:ilvl="3" w:tplc="1C846F50" w:tentative="1">
      <w:start w:val="1"/>
      <w:numFmt w:val="bullet"/>
      <w:lvlText w:val="•"/>
      <w:lvlJc w:val="left"/>
      <w:pPr>
        <w:tabs>
          <w:tab w:val="num" w:pos="2880"/>
        </w:tabs>
        <w:ind w:left="2880" w:hanging="360"/>
      </w:pPr>
      <w:rPr>
        <w:rFonts w:ascii="Arial" w:hAnsi="Arial" w:hint="default"/>
      </w:rPr>
    </w:lvl>
    <w:lvl w:ilvl="4" w:tplc="F3604634" w:tentative="1">
      <w:start w:val="1"/>
      <w:numFmt w:val="bullet"/>
      <w:lvlText w:val="•"/>
      <w:lvlJc w:val="left"/>
      <w:pPr>
        <w:tabs>
          <w:tab w:val="num" w:pos="3600"/>
        </w:tabs>
        <w:ind w:left="3600" w:hanging="360"/>
      </w:pPr>
      <w:rPr>
        <w:rFonts w:ascii="Arial" w:hAnsi="Arial" w:hint="default"/>
      </w:rPr>
    </w:lvl>
    <w:lvl w:ilvl="5" w:tplc="B216921A" w:tentative="1">
      <w:start w:val="1"/>
      <w:numFmt w:val="bullet"/>
      <w:lvlText w:val="•"/>
      <w:lvlJc w:val="left"/>
      <w:pPr>
        <w:tabs>
          <w:tab w:val="num" w:pos="4320"/>
        </w:tabs>
        <w:ind w:left="4320" w:hanging="360"/>
      </w:pPr>
      <w:rPr>
        <w:rFonts w:ascii="Arial" w:hAnsi="Arial" w:hint="default"/>
      </w:rPr>
    </w:lvl>
    <w:lvl w:ilvl="6" w:tplc="96560130" w:tentative="1">
      <w:start w:val="1"/>
      <w:numFmt w:val="bullet"/>
      <w:lvlText w:val="•"/>
      <w:lvlJc w:val="left"/>
      <w:pPr>
        <w:tabs>
          <w:tab w:val="num" w:pos="5040"/>
        </w:tabs>
        <w:ind w:left="5040" w:hanging="360"/>
      </w:pPr>
      <w:rPr>
        <w:rFonts w:ascii="Arial" w:hAnsi="Arial" w:hint="default"/>
      </w:rPr>
    </w:lvl>
    <w:lvl w:ilvl="7" w:tplc="00F2BACA" w:tentative="1">
      <w:start w:val="1"/>
      <w:numFmt w:val="bullet"/>
      <w:lvlText w:val="•"/>
      <w:lvlJc w:val="left"/>
      <w:pPr>
        <w:tabs>
          <w:tab w:val="num" w:pos="5760"/>
        </w:tabs>
        <w:ind w:left="5760" w:hanging="360"/>
      </w:pPr>
      <w:rPr>
        <w:rFonts w:ascii="Arial" w:hAnsi="Arial" w:hint="default"/>
      </w:rPr>
    </w:lvl>
    <w:lvl w:ilvl="8" w:tplc="6E22AE6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2F44B01"/>
    <w:multiLevelType w:val="hybridMultilevel"/>
    <w:tmpl w:val="69B26F34"/>
    <w:lvl w:ilvl="0" w:tplc="7A688CC8">
      <w:start w:val="1"/>
      <w:numFmt w:val="bullet"/>
      <w:lvlText w:val="•"/>
      <w:lvlJc w:val="left"/>
      <w:pPr>
        <w:tabs>
          <w:tab w:val="num" w:pos="720"/>
        </w:tabs>
        <w:ind w:left="720" w:hanging="360"/>
      </w:pPr>
      <w:rPr>
        <w:rFonts w:ascii="Arial" w:hAnsi="Arial" w:hint="default"/>
      </w:rPr>
    </w:lvl>
    <w:lvl w:ilvl="1" w:tplc="7616C558" w:tentative="1">
      <w:start w:val="1"/>
      <w:numFmt w:val="bullet"/>
      <w:lvlText w:val="•"/>
      <w:lvlJc w:val="left"/>
      <w:pPr>
        <w:tabs>
          <w:tab w:val="num" w:pos="1440"/>
        </w:tabs>
        <w:ind w:left="1440" w:hanging="360"/>
      </w:pPr>
      <w:rPr>
        <w:rFonts w:ascii="Arial" w:hAnsi="Arial" w:hint="default"/>
      </w:rPr>
    </w:lvl>
    <w:lvl w:ilvl="2" w:tplc="5F84B9BE" w:tentative="1">
      <w:start w:val="1"/>
      <w:numFmt w:val="bullet"/>
      <w:lvlText w:val="•"/>
      <w:lvlJc w:val="left"/>
      <w:pPr>
        <w:tabs>
          <w:tab w:val="num" w:pos="2160"/>
        </w:tabs>
        <w:ind w:left="2160" w:hanging="360"/>
      </w:pPr>
      <w:rPr>
        <w:rFonts w:ascii="Arial" w:hAnsi="Arial" w:hint="default"/>
      </w:rPr>
    </w:lvl>
    <w:lvl w:ilvl="3" w:tplc="31505AA4" w:tentative="1">
      <w:start w:val="1"/>
      <w:numFmt w:val="bullet"/>
      <w:lvlText w:val="•"/>
      <w:lvlJc w:val="left"/>
      <w:pPr>
        <w:tabs>
          <w:tab w:val="num" w:pos="2880"/>
        </w:tabs>
        <w:ind w:left="2880" w:hanging="360"/>
      </w:pPr>
      <w:rPr>
        <w:rFonts w:ascii="Arial" w:hAnsi="Arial" w:hint="default"/>
      </w:rPr>
    </w:lvl>
    <w:lvl w:ilvl="4" w:tplc="C7EAE070" w:tentative="1">
      <w:start w:val="1"/>
      <w:numFmt w:val="bullet"/>
      <w:lvlText w:val="•"/>
      <w:lvlJc w:val="left"/>
      <w:pPr>
        <w:tabs>
          <w:tab w:val="num" w:pos="3600"/>
        </w:tabs>
        <w:ind w:left="3600" w:hanging="360"/>
      </w:pPr>
      <w:rPr>
        <w:rFonts w:ascii="Arial" w:hAnsi="Arial" w:hint="default"/>
      </w:rPr>
    </w:lvl>
    <w:lvl w:ilvl="5" w:tplc="D8A4C19C" w:tentative="1">
      <w:start w:val="1"/>
      <w:numFmt w:val="bullet"/>
      <w:lvlText w:val="•"/>
      <w:lvlJc w:val="left"/>
      <w:pPr>
        <w:tabs>
          <w:tab w:val="num" w:pos="4320"/>
        </w:tabs>
        <w:ind w:left="4320" w:hanging="360"/>
      </w:pPr>
      <w:rPr>
        <w:rFonts w:ascii="Arial" w:hAnsi="Arial" w:hint="default"/>
      </w:rPr>
    </w:lvl>
    <w:lvl w:ilvl="6" w:tplc="0AF253EE" w:tentative="1">
      <w:start w:val="1"/>
      <w:numFmt w:val="bullet"/>
      <w:lvlText w:val="•"/>
      <w:lvlJc w:val="left"/>
      <w:pPr>
        <w:tabs>
          <w:tab w:val="num" w:pos="5040"/>
        </w:tabs>
        <w:ind w:left="5040" w:hanging="360"/>
      </w:pPr>
      <w:rPr>
        <w:rFonts w:ascii="Arial" w:hAnsi="Arial" w:hint="default"/>
      </w:rPr>
    </w:lvl>
    <w:lvl w:ilvl="7" w:tplc="2A08BF40" w:tentative="1">
      <w:start w:val="1"/>
      <w:numFmt w:val="bullet"/>
      <w:lvlText w:val="•"/>
      <w:lvlJc w:val="left"/>
      <w:pPr>
        <w:tabs>
          <w:tab w:val="num" w:pos="5760"/>
        </w:tabs>
        <w:ind w:left="5760" w:hanging="360"/>
      </w:pPr>
      <w:rPr>
        <w:rFonts w:ascii="Arial" w:hAnsi="Arial" w:hint="default"/>
      </w:rPr>
    </w:lvl>
    <w:lvl w:ilvl="8" w:tplc="A87E6B2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59A3D5C"/>
    <w:multiLevelType w:val="hybridMultilevel"/>
    <w:tmpl w:val="8230135A"/>
    <w:lvl w:ilvl="0" w:tplc="A5426F34">
      <w:start w:val="1"/>
      <w:numFmt w:val="bullet"/>
      <w:lvlText w:val="•"/>
      <w:lvlJc w:val="left"/>
      <w:pPr>
        <w:tabs>
          <w:tab w:val="num" w:pos="720"/>
        </w:tabs>
        <w:ind w:left="720" w:hanging="360"/>
      </w:pPr>
      <w:rPr>
        <w:rFonts w:ascii="Arial" w:hAnsi="Arial" w:hint="default"/>
      </w:rPr>
    </w:lvl>
    <w:lvl w:ilvl="1" w:tplc="B0123396" w:tentative="1">
      <w:start w:val="1"/>
      <w:numFmt w:val="bullet"/>
      <w:lvlText w:val="•"/>
      <w:lvlJc w:val="left"/>
      <w:pPr>
        <w:tabs>
          <w:tab w:val="num" w:pos="1440"/>
        </w:tabs>
        <w:ind w:left="1440" w:hanging="360"/>
      </w:pPr>
      <w:rPr>
        <w:rFonts w:ascii="Arial" w:hAnsi="Arial" w:hint="default"/>
      </w:rPr>
    </w:lvl>
    <w:lvl w:ilvl="2" w:tplc="667AD8E0" w:tentative="1">
      <w:start w:val="1"/>
      <w:numFmt w:val="bullet"/>
      <w:lvlText w:val="•"/>
      <w:lvlJc w:val="left"/>
      <w:pPr>
        <w:tabs>
          <w:tab w:val="num" w:pos="2160"/>
        </w:tabs>
        <w:ind w:left="2160" w:hanging="360"/>
      </w:pPr>
      <w:rPr>
        <w:rFonts w:ascii="Arial" w:hAnsi="Arial" w:hint="default"/>
      </w:rPr>
    </w:lvl>
    <w:lvl w:ilvl="3" w:tplc="B7EC4D38" w:tentative="1">
      <w:start w:val="1"/>
      <w:numFmt w:val="bullet"/>
      <w:lvlText w:val="•"/>
      <w:lvlJc w:val="left"/>
      <w:pPr>
        <w:tabs>
          <w:tab w:val="num" w:pos="2880"/>
        </w:tabs>
        <w:ind w:left="2880" w:hanging="360"/>
      </w:pPr>
      <w:rPr>
        <w:rFonts w:ascii="Arial" w:hAnsi="Arial" w:hint="default"/>
      </w:rPr>
    </w:lvl>
    <w:lvl w:ilvl="4" w:tplc="C67AD738" w:tentative="1">
      <w:start w:val="1"/>
      <w:numFmt w:val="bullet"/>
      <w:lvlText w:val="•"/>
      <w:lvlJc w:val="left"/>
      <w:pPr>
        <w:tabs>
          <w:tab w:val="num" w:pos="3600"/>
        </w:tabs>
        <w:ind w:left="3600" w:hanging="360"/>
      </w:pPr>
      <w:rPr>
        <w:rFonts w:ascii="Arial" w:hAnsi="Arial" w:hint="default"/>
      </w:rPr>
    </w:lvl>
    <w:lvl w:ilvl="5" w:tplc="32CA0090" w:tentative="1">
      <w:start w:val="1"/>
      <w:numFmt w:val="bullet"/>
      <w:lvlText w:val="•"/>
      <w:lvlJc w:val="left"/>
      <w:pPr>
        <w:tabs>
          <w:tab w:val="num" w:pos="4320"/>
        </w:tabs>
        <w:ind w:left="4320" w:hanging="360"/>
      </w:pPr>
      <w:rPr>
        <w:rFonts w:ascii="Arial" w:hAnsi="Arial" w:hint="default"/>
      </w:rPr>
    </w:lvl>
    <w:lvl w:ilvl="6" w:tplc="CFCA152A" w:tentative="1">
      <w:start w:val="1"/>
      <w:numFmt w:val="bullet"/>
      <w:lvlText w:val="•"/>
      <w:lvlJc w:val="left"/>
      <w:pPr>
        <w:tabs>
          <w:tab w:val="num" w:pos="5040"/>
        </w:tabs>
        <w:ind w:left="5040" w:hanging="360"/>
      </w:pPr>
      <w:rPr>
        <w:rFonts w:ascii="Arial" w:hAnsi="Arial" w:hint="default"/>
      </w:rPr>
    </w:lvl>
    <w:lvl w:ilvl="7" w:tplc="6AB873F8" w:tentative="1">
      <w:start w:val="1"/>
      <w:numFmt w:val="bullet"/>
      <w:lvlText w:val="•"/>
      <w:lvlJc w:val="left"/>
      <w:pPr>
        <w:tabs>
          <w:tab w:val="num" w:pos="5760"/>
        </w:tabs>
        <w:ind w:left="5760" w:hanging="360"/>
      </w:pPr>
      <w:rPr>
        <w:rFonts w:ascii="Arial" w:hAnsi="Arial" w:hint="default"/>
      </w:rPr>
    </w:lvl>
    <w:lvl w:ilvl="8" w:tplc="92508A02"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61942B76"/>
    <w:multiLevelType w:val="hybridMultilevel"/>
    <w:tmpl w:val="256CE4F4"/>
    <w:lvl w:ilvl="0" w:tplc="297018C4">
      <w:start w:val="1"/>
      <w:numFmt w:val="bullet"/>
      <w:lvlText w:val="•"/>
      <w:lvlJc w:val="left"/>
      <w:pPr>
        <w:tabs>
          <w:tab w:val="num" w:pos="720"/>
        </w:tabs>
        <w:ind w:left="720" w:hanging="360"/>
      </w:pPr>
      <w:rPr>
        <w:rFonts w:ascii="Arial" w:hAnsi="Arial" w:hint="default"/>
      </w:rPr>
    </w:lvl>
    <w:lvl w:ilvl="1" w:tplc="8FCE72C4" w:tentative="1">
      <w:start w:val="1"/>
      <w:numFmt w:val="bullet"/>
      <w:lvlText w:val="•"/>
      <w:lvlJc w:val="left"/>
      <w:pPr>
        <w:tabs>
          <w:tab w:val="num" w:pos="1440"/>
        </w:tabs>
        <w:ind w:left="1440" w:hanging="360"/>
      </w:pPr>
      <w:rPr>
        <w:rFonts w:ascii="Arial" w:hAnsi="Arial" w:hint="default"/>
      </w:rPr>
    </w:lvl>
    <w:lvl w:ilvl="2" w:tplc="6BAAD512" w:tentative="1">
      <w:start w:val="1"/>
      <w:numFmt w:val="bullet"/>
      <w:lvlText w:val="•"/>
      <w:lvlJc w:val="left"/>
      <w:pPr>
        <w:tabs>
          <w:tab w:val="num" w:pos="2160"/>
        </w:tabs>
        <w:ind w:left="2160" w:hanging="360"/>
      </w:pPr>
      <w:rPr>
        <w:rFonts w:ascii="Arial" w:hAnsi="Arial" w:hint="default"/>
      </w:rPr>
    </w:lvl>
    <w:lvl w:ilvl="3" w:tplc="9E48AE48" w:tentative="1">
      <w:start w:val="1"/>
      <w:numFmt w:val="bullet"/>
      <w:lvlText w:val="•"/>
      <w:lvlJc w:val="left"/>
      <w:pPr>
        <w:tabs>
          <w:tab w:val="num" w:pos="2880"/>
        </w:tabs>
        <w:ind w:left="2880" w:hanging="360"/>
      </w:pPr>
      <w:rPr>
        <w:rFonts w:ascii="Arial" w:hAnsi="Arial" w:hint="default"/>
      </w:rPr>
    </w:lvl>
    <w:lvl w:ilvl="4" w:tplc="7DF0C072" w:tentative="1">
      <w:start w:val="1"/>
      <w:numFmt w:val="bullet"/>
      <w:lvlText w:val="•"/>
      <w:lvlJc w:val="left"/>
      <w:pPr>
        <w:tabs>
          <w:tab w:val="num" w:pos="3600"/>
        </w:tabs>
        <w:ind w:left="3600" w:hanging="360"/>
      </w:pPr>
      <w:rPr>
        <w:rFonts w:ascii="Arial" w:hAnsi="Arial" w:hint="default"/>
      </w:rPr>
    </w:lvl>
    <w:lvl w:ilvl="5" w:tplc="478AFF26" w:tentative="1">
      <w:start w:val="1"/>
      <w:numFmt w:val="bullet"/>
      <w:lvlText w:val="•"/>
      <w:lvlJc w:val="left"/>
      <w:pPr>
        <w:tabs>
          <w:tab w:val="num" w:pos="4320"/>
        </w:tabs>
        <w:ind w:left="4320" w:hanging="360"/>
      </w:pPr>
      <w:rPr>
        <w:rFonts w:ascii="Arial" w:hAnsi="Arial" w:hint="default"/>
      </w:rPr>
    </w:lvl>
    <w:lvl w:ilvl="6" w:tplc="1A381A7A" w:tentative="1">
      <w:start w:val="1"/>
      <w:numFmt w:val="bullet"/>
      <w:lvlText w:val="•"/>
      <w:lvlJc w:val="left"/>
      <w:pPr>
        <w:tabs>
          <w:tab w:val="num" w:pos="5040"/>
        </w:tabs>
        <w:ind w:left="5040" w:hanging="360"/>
      </w:pPr>
      <w:rPr>
        <w:rFonts w:ascii="Arial" w:hAnsi="Arial" w:hint="default"/>
      </w:rPr>
    </w:lvl>
    <w:lvl w:ilvl="7" w:tplc="04BAC49E" w:tentative="1">
      <w:start w:val="1"/>
      <w:numFmt w:val="bullet"/>
      <w:lvlText w:val="•"/>
      <w:lvlJc w:val="left"/>
      <w:pPr>
        <w:tabs>
          <w:tab w:val="num" w:pos="5760"/>
        </w:tabs>
        <w:ind w:left="5760" w:hanging="360"/>
      </w:pPr>
      <w:rPr>
        <w:rFonts w:ascii="Arial" w:hAnsi="Arial" w:hint="default"/>
      </w:rPr>
    </w:lvl>
    <w:lvl w:ilvl="8" w:tplc="8E668C54"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BBD"/>
    <w:rsid w:val="000B1059"/>
    <w:rsid w:val="000C7202"/>
    <w:rsid w:val="000E7BD5"/>
    <w:rsid w:val="00130A40"/>
    <w:rsid w:val="001F447B"/>
    <w:rsid w:val="002651E4"/>
    <w:rsid w:val="00294392"/>
    <w:rsid w:val="002E2245"/>
    <w:rsid w:val="0032289C"/>
    <w:rsid w:val="003953EA"/>
    <w:rsid w:val="003E23B5"/>
    <w:rsid w:val="00473598"/>
    <w:rsid w:val="005524ED"/>
    <w:rsid w:val="00566E0D"/>
    <w:rsid w:val="005B0794"/>
    <w:rsid w:val="00600197"/>
    <w:rsid w:val="006179EE"/>
    <w:rsid w:val="00631A81"/>
    <w:rsid w:val="0065185D"/>
    <w:rsid w:val="006C1D7B"/>
    <w:rsid w:val="006D1407"/>
    <w:rsid w:val="006D67DE"/>
    <w:rsid w:val="006F5884"/>
    <w:rsid w:val="00853816"/>
    <w:rsid w:val="00854175"/>
    <w:rsid w:val="008A64BF"/>
    <w:rsid w:val="008B6452"/>
    <w:rsid w:val="008E66ED"/>
    <w:rsid w:val="0097037B"/>
    <w:rsid w:val="00A548D8"/>
    <w:rsid w:val="00A654FD"/>
    <w:rsid w:val="00AB2E69"/>
    <w:rsid w:val="00B91BBD"/>
    <w:rsid w:val="00C05254"/>
    <w:rsid w:val="00C2069A"/>
    <w:rsid w:val="00C63D1F"/>
    <w:rsid w:val="00C7261E"/>
    <w:rsid w:val="00C937B1"/>
    <w:rsid w:val="00D20AF4"/>
    <w:rsid w:val="00D30714"/>
    <w:rsid w:val="00DB13F1"/>
    <w:rsid w:val="00E55C33"/>
    <w:rsid w:val="00F859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0B8D5"/>
  <w15:chartTrackingRefBased/>
  <w15:docId w15:val="{2FA23CB6-7706-4046-A5A2-BFA0B0968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67DE"/>
    <w:pPr>
      <w:ind w:left="720"/>
      <w:contextualSpacing/>
    </w:pPr>
  </w:style>
  <w:style w:type="paragraph" w:customStyle="1" w:styleId="Standard">
    <w:name w:val="Standard"/>
    <w:rsid w:val="00566E0D"/>
    <w:pPr>
      <w:suppressAutoHyphens/>
      <w:autoSpaceDN w:val="0"/>
      <w:spacing w:line="256" w:lineRule="auto"/>
      <w:textAlignment w:val="baseline"/>
    </w:pPr>
    <w:rPr>
      <w:rFonts w:ascii="Calibri" w:eastAsia="SimSun" w:hAnsi="Calibri" w:cs="Calibri"/>
      <w:kern w:val="3"/>
    </w:rPr>
  </w:style>
  <w:style w:type="paragraph" w:styleId="NoSpacing">
    <w:name w:val="No Spacing"/>
    <w:rsid w:val="00566E0D"/>
    <w:pPr>
      <w:suppressAutoHyphens/>
      <w:autoSpaceDN w:val="0"/>
      <w:spacing w:after="0" w:line="100" w:lineRule="atLeast"/>
      <w:textAlignment w:val="baseline"/>
    </w:pPr>
    <w:rPr>
      <w:rFonts w:ascii="Calibri" w:eastAsia="SimSun" w:hAnsi="Calibri" w:cs="Calibri"/>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043028">
      <w:bodyDiv w:val="1"/>
      <w:marLeft w:val="0"/>
      <w:marRight w:val="0"/>
      <w:marTop w:val="0"/>
      <w:marBottom w:val="0"/>
      <w:divBdr>
        <w:top w:val="none" w:sz="0" w:space="0" w:color="auto"/>
        <w:left w:val="none" w:sz="0" w:space="0" w:color="auto"/>
        <w:bottom w:val="none" w:sz="0" w:space="0" w:color="auto"/>
        <w:right w:val="none" w:sz="0" w:space="0" w:color="auto"/>
      </w:divBdr>
      <w:divsChild>
        <w:div w:id="1765301456">
          <w:marLeft w:val="360"/>
          <w:marRight w:val="0"/>
          <w:marTop w:val="200"/>
          <w:marBottom w:val="0"/>
          <w:divBdr>
            <w:top w:val="none" w:sz="0" w:space="0" w:color="auto"/>
            <w:left w:val="none" w:sz="0" w:space="0" w:color="auto"/>
            <w:bottom w:val="none" w:sz="0" w:space="0" w:color="auto"/>
            <w:right w:val="none" w:sz="0" w:space="0" w:color="auto"/>
          </w:divBdr>
        </w:div>
        <w:div w:id="616957215">
          <w:marLeft w:val="360"/>
          <w:marRight w:val="0"/>
          <w:marTop w:val="200"/>
          <w:marBottom w:val="0"/>
          <w:divBdr>
            <w:top w:val="none" w:sz="0" w:space="0" w:color="auto"/>
            <w:left w:val="none" w:sz="0" w:space="0" w:color="auto"/>
            <w:bottom w:val="none" w:sz="0" w:space="0" w:color="auto"/>
            <w:right w:val="none" w:sz="0" w:space="0" w:color="auto"/>
          </w:divBdr>
        </w:div>
        <w:div w:id="744572396">
          <w:marLeft w:val="360"/>
          <w:marRight w:val="0"/>
          <w:marTop w:val="200"/>
          <w:marBottom w:val="0"/>
          <w:divBdr>
            <w:top w:val="none" w:sz="0" w:space="0" w:color="auto"/>
            <w:left w:val="none" w:sz="0" w:space="0" w:color="auto"/>
            <w:bottom w:val="none" w:sz="0" w:space="0" w:color="auto"/>
            <w:right w:val="none" w:sz="0" w:space="0" w:color="auto"/>
          </w:divBdr>
        </w:div>
        <w:div w:id="873928548">
          <w:marLeft w:val="360"/>
          <w:marRight w:val="0"/>
          <w:marTop w:val="200"/>
          <w:marBottom w:val="0"/>
          <w:divBdr>
            <w:top w:val="none" w:sz="0" w:space="0" w:color="auto"/>
            <w:left w:val="none" w:sz="0" w:space="0" w:color="auto"/>
            <w:bottom w:val="none" w:sz="0" w:space="0" w:color="auto"/>
            <w:right w:val="none" w:sz="0" w:space="0" w:color="auto"/>
          </w:divBdr>
        </w:div>
        <w:div w:id="811404626">
          <w:marLeft w:val="360"/>
          <w:marRight w:val="0"/>
          <w:marTop w:val="200"/>
          <w:marBottom w:val="0"/>
          <w:divBdr>
            <w:top w:val="none" w:sz="0" w:space="0" w:color="auto"/>
            <w:left w:val="none" w:sz="0" w:space="0" w:color="auto"/>
            <w:bottom w:val="none" w:sz="0" w:space="0" w:color="auto"/>
            <w:right w:val="none" w:sz="0" w:space="0" w:color="auto"/>
          </w:divBdr>
        </w:div>
      </w:divsChild>
    </w:div>
    <w:div w:id="411125105">
      <w:bodyDiv w:val="1"/>
      <w:marLeft w:val="0"/>
      <w:marRight w:val="0"/>
      <w:marTop w:val="0"/>
      <w:marBottom w:val="0"/>
      <w:divBdr>
        <w:top w:val="none" w:sz="0" w:space="0" w:color="auto"/>
        <w:left w:val="none" w:sz="0" w:space="0" w:color="auto"/>
        <w:bottom w:val="none" w:sz="0" w:space="0" w:color="auto"/>
        <w:right w:val="none" w:sz="0" w:space="0" w:color="auto"/>
      </w:divBdr>
      <w:divsChild>
        <w:div w:id="1700617461">
          <w:marLeft w:val="360"/>
          <w:marRight w:val="0"/>
          <w:marTop w:val="200"/>
          <w:marBottom w:val="0"/>
          <w:divBdr>
            <w:top w:val="none" w:sz="0" w:space="0" w:color="auto"/>
            <w:left w:val="none" w:sz="0" w:space="0" w:color="auto"/>
            <w:bottom w:val="none" w:sz="0" w:space="0" w:color="auto"/>
            <w:right w:val="none" w:sz="0" w:space="0" w:color="auto"/>
          </w:divBdr>
        </w:div>
        <w:div w:id="678317379">
          <w:marLeft w:val="360"/>
          <w:marRight w:val="0"/>
          <w:marTop w:val="200"/>
          <w:marBottom w:val="0"/>
          <w:divBdr>
            <w:top w:val="none" w:sz="0" w:space="0" w:color="auto"/>
            <w:left w:val="none" w:sz="0" w:space="0" w:color="auto"/>
            <w:bottom w:val="none" w:sz="0" w:space="0" w:color="auto"/>
            <w:right w:val="none" w:sz="0" w:space="0" w:color="auto"/>
          </w:divBdr>
        </w:div>
        <w:div w:id="1915820809">
          <w:marLeft w:val="360"/>
          <w:marRight w:val="0"/>
          <w:marTop w:val="200"/>
          <w:marBottom w:val="0"/>
          <w:divBdr>
            <w:top w:val="none" w:sz="0" w:space="0" w:color="auto"/>
            <w:left w:val="none" w:sz="0" w:space="0" w:color="auto"/>
            <w:bottom w:val="none" w:sz="0" w:space="0" w:color="auto"/>
            <w:right w:val="none" w:sz="0" w:space="0" w:color="auto"/>
          </w:divBdr>
        </w:div>
        <w:div w:id="1130589102">
          <w:marLeft w:val="360"/>
          <w:marRight w:val="0"/>
          <w:marTop w:val="200"/>
          <w:marBottom w:val="0"/>
          <w:divBdr>
            <w:top w:val="none" w:sz="0" w:space="0" w:color="auto"/>
            <w:left w:val="none" w:sz="0" w:space="0" w:color="auto"/>
            <w:bottom w:val="none" w:sz="0" w:space="0" w:color="auto"/>
            <w:right w:val="none" w:sz="0" w:space="0" w:color="auto"/>
          </w:divBdr>
        </w:div>
      </w:divsChild>
    </w:div>
    <w:div w:id="912739023">
      <w:bodyDiv w:val="1"/>
      <w:marLeft w:val="0"/>
      <w:marRight w:val="0"/>
      <w:marTop w:val="0"/>
      <w:marBottom w:val="0"/>
      <w:divBdr>
        <w:top w:val="none" w:sz="0" w:space="0" w:color="auto"/>
        <w:left w:val="none" w:sz="0" w:space="0" w:color="auto"/>
        <w:bottom w:val="none" w:sz="0" w:space="0" w:color="auto"/>
        <w:right w:val="none" w:sz="0" w:space="0" w:color="auto"/>
      </w:divBdr>
      <w:divsChild>
        <w:div w:id="1538665726">
          <w:marLeft w:val="360"/>
          <w:marRight w:val="0"/>
          <w:marTop w:val="200"/>
          <w:marBottom w:val="0"/>
          <w:divBdr>
            <w:top w:val="none" w:sz="0" w:space="0" w:color="auto"/>
            <w:left w:val="none" w:sz="0" w:space="0" w:color="auto"/>
            <w:bottom w:val="none" w:sz="0" w:space="0" w:color="auto"/>
            <w:right w:val="none" w:sz="0" w:space="0" w:color="auto"/>
          </w:divBdr>
        </w:div>
        <w:div w:id="1902253728">
          <w:marLeft w:val="360"/>
          <w:marRight w:val="0"/>
          <w:marTop w:val="200"/>
          <w:marBottom w:val="0"/>
          <w:divBdr>
            <w:top w:val="none" w:sz="0" w:space="0" w:color="auto"/>
            <w:left w:val="none" w:sz="0" w:space="0" w:color="auto"/>
            <w:bottom w:val="none" w:sz="0" w:space="0" w:color="auto"/>
            <w:right w:val="none" w:sz="0" w:space="0" w:color="auto"/>
          </w:divBdr>
        </w:div>
        <w:div w:id="2114663132">
          <w:marLeft w:val="360"/>
          <w:marRight w:val="0"/>
          <w:marTop w:val="200"/>
          <w:marBottom w:val="0"/>
          <w:divBdr>
            <w:top w:val="none" w:sz="0" w:space="0" w:color="auto"/>
            <w:left w:val="none" w:sz="0" w:space="0" w:color="auto"/>
            <w:bottom w:val="none" w:sz="0" w:space="0" w:color="auto"/>
            <w:right w:val="none" w:sz="0" w:space="0" w:color="auto"/>
          </w:divBdr>
        </w:div>
      </w:divsChild>
    </w:div>
    <w:div w:id="939753337">
      <w:bodyDiv w:val="1"/>
      <w:marLeft w:val="0"/>
      <w:marRight w:val="0"/>
      <w:marTop w:val="0"/>
      <w:marBottom w:val="0"/>
      <w:divBdr>
        <w:top w:val="none" w:sz="0" w:space="0" w:color="auto"/>
        <w:left w:val="none" w:sz="0" w:space="0" w:color="auto"/>
        <w:bottom w:val="none" w:sz="0" w:space="0" w:color="auto"/>
        <w:right w:val="none" w:sz="0" w:space="0" w:color="auto"/>
      </w:divBdr>
    </w:div>
    <w:div w:id="2048409623">
      <w:bodyDiv w:val="1"/>
      <w:marLeft w:val="0"/>
      <w:marRight w:val="0"/>
      <w:marTop w:val="0"/>
      <w:marBottom w:val="0"/>
      <w:divBdr>
        <w:top w:val="none" w:sz="0" w:space="0" w:color="auto"/>
        <w:left w:val="none" w:sz="0" w:space="0" w:color="auto"/>
        <w:bottom w:val="none" w:sz="0" w:space="0" w:color="auto"/>
        <w:right w:val="none" w:sz="0" w:space="0" w:color="auto"/>
      </w:divBdr>
      <w:divsChild>
        <w:div w:id="1182629627">
          <w:marLeft w:val="360"/>
          <w:marRight w:val="0"/>
          <w:marTop w:val="200"/>
          <w:marBottom w:val="0"/>
          <w:divBdr>
            <w:top w:val="none" w:sz="0" w:space="0" w:color="auto"/>
            <w:left w:val="none" w:sz="0" w:space="0" w:color="auto"/>
            <w:bottom w:val="none" w:sz="0" w:space="0" w:color="auto"/>
            <w:right w:val="none" w:sz="0" w:space="0" w:color="auto"/>
          </w:divBdr>
        </w:div>
        <w:div w:id="115148561">
          <w:marLeft w:val="360"/>
          <w:marRight w:val="0"/>
          <w:marTop w:val="200"/>
          <w:marBottom w:val="0"/>
          <w:divBdr>
            <w:top w:val="none" w:sz="0" w:space="0" w:color="auto"/>
            <w:left w:val="none" w:sz="0" w:space="0" w:color="auto"/>
            <w:bottom w:val="none" w:sz="0" w:space="0" w:color="auto"/>
            <w:right w:val="none" w:sz="0" w:space="0" w:color="auto"/>
          </w:divBdr>
        </w:div>
        <w:div w:id="1328098794">
          <w:marLeft w:val="360"/>
          <w:marRight w:val="0"/>
          <w:marTop w:val="200"/>
          <w:marBottom w:val="0"/>
          <w:divBdr>
            <w:top w:val="none" w:sz="0" w:space="0" w:color="auto"/>
            <w:left w:val="none" w:sz="0" w:space="0" w:color="auto"/>
            <w:bottom w:val="none" w:sz="0" w:space="0" w:color="auto"/>
            <w:right w:val="none" w:sz="0" w:space="0" w:color="auto"/>
          </w:divBdr>
        </w:div>
        <w:div w:id="22750067">
          <w:marLeft w:val="360"/>
          <w:marRight w:val="0"/>
          <w:marTop w:val="200"/>
          <w:marBottom w:val="0"/>
          <w:divBdr>
            <w:top w:val="none" w:sz="0" w:space="0" w:color="auto"/>
            <w:left w:val="none" w:sz="0" w:space="0" w:color="auto"/>
            <w:bottom w:val="none" w:sz="0" w:space="0" w:color="auto"/>
            <w:right w:val="none" w:sz="0" w:space="0" w:color="auto"/>
          </w:divBdr>
        </w:div>
        <w:div w:id="1260870912">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204</TotalTime>
  <Pages>9</Pages>
  <Words>4411</Words>
  <Characters>25148</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 Tredoux</dc:creator>
  <cp:keywords/>
  <dc:description/>
  <cp:lastModifiedBy>Jaco Tredoux</cp:lastModifiedBy>
  <cp:revision>4</cp:revision>
  <dcterms:created xsi:type="dcterms:W3CDTF">2022-02-15T04:47:00Z</dcterms:created>
  <dcterms:modified xsi:type="dcterms:W3CDTF">2022-02-15T08:10:00Z</dcterms:modified>
</cp:coreProperties>
</file>