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b w:val="1"/>
          <w:sz w:val="42"/>
          <w:szCs w:val="42"/>
          <w:u w:val="single"/>
        </w:rPr>
      </w:pPr>
      <w:r w:rsidDel="00000000" w:rsidR="00000000" w:rsidRPr="00000000">
        <w:rPr>
          <w:b w:val="1"/>
          <w:sz w:val="42"/>
          <w:szCs w:val="42"/>
          <w:u w:val="single"/>
          <w:rtl w:val="0"/>
        </w:rPr>
        <w:t xml:space="preserve">ASSESSMENT OF THE POLITICAL PRIORITIZATION OF ORAL HEALTH IN AFRICA:A COMPARATIVE STUDY OF KENYA AND SOUTH AFRICA</w:t>
      </w:r>
    </w:p>
    <w:p w:rsidR="00000000" w:rsidDel="00000000" w:rsidP="00000000" w:rsidRDefault="00000000" w:rsidRPr="00000000" w14:paraId="00000002">
      <w:pPr>
        <w:rPr>
          <w:sz w:val="32"/>
          <w:szCs w:val="32"/>
        </w:rPr>
      </w:pPr>
      <w:r w:rsidDel="00000000" w:rsidR="00000000" w:rsidRPr="00000000">
        <w:rPr>
          <w:sz w:val="40"/>
          <w:szCs w:val="40"/>
          <w:rtl w:val="0"/>
        </w:rPr>
        <w:tab/>
        <w:tab/>
        <w:tab/>
        <w:tab/>
        <w:tab/>
      </w:r>
      <w:r w:rsidDel="00000000" w:rsidR="00000000" w:rsidRPr="00000000">
        <w:rPr>
          <w:rtl w:val="0"/>
        </w:rPr>
      </w:r>
    </w:p>
    <w:p w:rsidR="00000000" w:rsidDel="00000000" w:rsidP="00000000" w:rsidRDefault="00000000" w:rsidRPr="00000000" w14:paraId="00000003">
      <w:pPr>
        <w:spacing w:line="360" w:lineRule="auto"/>
        <w:jc w:val="center"/>
        <w:rPr>
          <w:sz w:val="32"/>
          <w:szCs w:val="32"/>
        </w:rPr>
      </w:pPr>
      <w:r w:rsidDel="00000000" w:rsidR="00000000" w:rsidRPr="00000000">
        <w:rPr>
          <w:rtl w:val="0"/>
        </w:rPr>
      </w:r>
    </w:p>
    <w:p w:rsidR="00000000" w:rsidDel="00000000" w:rsidP="00000000" w:rsidRDefault="00000000" w:rsidRPr="00000000" w14:paraId="00000004">
      <w:pPr>
        <w:spacing w:line="360" w:lineRule="auto"/>
        <w:jc w:val="center"/>
        <w:rPr>
          <w:sz w:val="28"/>
          <w:szCs w:val="28"/>
        </w:rPr>
      </w:pPr>
      <w:r w:rsidDel="00000000" w:rsidR="00000000" w:rsidRPr="00000000">
        <w:rPr>
          <w:sz w:val="28"/>
          <w:szCs w:val="28"/>
          <w:rtl w:val="0"/>
        </w:rPr>
        <w:t xml:space="preserve">Proposal </w:t>
      </w:r>
    </w:p>
    <w:p w:rsidR="00000000" w:rsidDel="00000000" w:rsidP="00000000" w:rsidRDefault="00000000" w:rsidRPr="00000000" w14:paraId="00000005">
      <w:pPr>
        <w:jc w:val="center"/>
        <w:rPr>
          <w:sz w:val="32"/>
          <w:szCs w:val="32"/>
        </w:rPr>
      </w:pPr>
      <w:r w:rsidDel="00000000" w:rsidR="00000000" w:rsidRPr="00000000">
        <w:rPr>
          <w:rtl w:val="0"/>
        </w:rPr>
      </w:r>
    </w:p>
    <w:p w:rsidR="00000000" w:rsidDel="00000000" w:rsidP="00000000" w:rsidRDefault="00000000" w:rsidRPr="00000000" w14:paraId="00000006">
      <w:pPr>
        <w:jc w:val="center"/>
        <w:rPr>
          <w:sz w:val="40"/>
          <w:szCs w:val="40"/>
        </w:rPr>
      </w:pPr>
      <w:r w:rsidDel="00000000" w:rsidR="00000000" w:rsidRPr="00000000">
        <w:rPr>
          <w:rtl w:val="0"/>
        </w:rPr>
      </w:r>
    </w:p>
    <w:p w:rsidR="00000000" w:rsidDel="00000000" w:rsidP="00000000" w:rsidRDefault="00000000" w:rsidRPr="00000000" w14:paraId="00000007">
      <w:pPr>
        <w:jc w:val="center"/>
        <w:rPr>
          <w:sz w:val="32"/>
          <w:szCs w:val="32"/>
        </w:rPr>
      </w:pPr>
      <w:r w:rsidDel="00000000" w:rsidR="00000000" w:rsidRPr="00000000">
        <w:rPr>
          <w:sz w:val="32"/>
          <w:szCs w:val="32"/>
          <w:rtl w:val="0"/>
        </w:rPr>
        <w:t xml:space="preserve">Anbar Ganatra</w:t>
      </w:r>
    </w:p>
    <w:p w:rsidR="00000000" w:rsidDel="00000000" w:rsidP="00000000" w:rsidRDefault="00000000" w:rsidRPr="00000000" w14:paraId="00000008">
      <w:pPr>
        <w:jc w:val="center"/>
        <w:rPr>
          <w:b w:val="1"/>
          <w:sz w:val="40"/>
          <w:szCs w:val="40"/>
        </w:rPr>
      </w:pPr>
      <w:r w:rsidDel="00000000" w:rsidR="00000000" w:rsidRPr="00000000">
        <w:rPr>
          <w:rtl w:val="0"/>
        </w:rPr>
      </w:r>
    </w:p>
    <w:p w:rsidR="00000000" w:rsidDel="00000000" w:rsidP="00000000" w:rsidRDefault="00000000" w:rsidRPr="00000000" w14:paraId="00000009">
      <w:pPr>
        <w:jc w:val="center"/>
        <w:rPr>
          <w:b w:val="1"/>
          <w:sz w:val="40"/>
          <w:szCs w:val="40"/>
        </w:rPr>
      </w:pPr>
      <w:r w:rsidDel="00000000" w:rsidR="00000000" w:rsidRPr="00000000">
        <w:rPr>
          <w:rtl w:val="0"/>
        </w:rPr>
      </w:r>
    </w:p>
    <w:p w:rsidR="00000000" w:rsidDel="00000000" w:rsidP="00000000" w:rsidRDefault="00000000" w:rsidRPr="00000000" w14:paraId="0000000A">
      <w:pPr>
        <w:jc w:val="center"/>
        <w:rPr>
          <w:b w:val="1"/>
          <w:sz w:val="40"/>
          <w:szCs w:val="40"/>
          <w:u w:val="single"/>
        </w:rPr>
      </w:pPr>
      <w:r w:rsidDel="00000000" w:rsidR="00000000" w:rsidRPr="00000000">
        <w:rPr>
          <w:rtl w:val="0"/>
        </w:rPr>
      </w:r>
    </w:p>
    <w:p w:rsidR="00000000" w:rsidDel="00000000" w:rsidP="00000000" w:rsidRDefault="00000000" w:rsidRPr="00000000" w14:paraId="0000000B">
      <w:pPr>
        <w:jc w:val="center"/>
        <w:rPr>
          <w:b w:val="1"/>
          <w:sz w:val="40"/>
          <w:szCs w:val="40"/>
          <w:u w:val="single"/>
        </w:rPr>
      </w:pPr>
      <w:r w:rsidDel="00000000" w:rsidR="00000000" w:rsidRPr="00000000">
        <w:rPr>
          <w:rtl w:val="0"/>
        </w:rPr>
      </w:r>
    </w:p>
    <w:p w:rsidR="00000000" w:rsidDel="00000000" w:rsidP="00000000" w:rsidRDefault="00000000" w:rsidRPr="00000000" w14:paraId="0000000C">
      <w:pPr>
        <w:jc w:val="center"/>
        <w:rPr>
          <w:b w:val="1"/>
          <w:sz w:val="40"/>
          <w:szCs w:val="40"/>
          <w:u w:val="single"/>
        </w:rPr>
      </w:pPr>
      <w:r w:rsidDel="00000000" w:rsidR="00000000" w:rsidRPr="00000000">
        <w:rPr>
          <w:rtl w:val="0"/>
        </w:rPr>
      </w:r>
    </w:p>
    <w:p w:rsidR="00000000" w:rsidDel="00000000" w:rsidP="00000000" w:rsidRDefault="00000000" w:rsidRPr="00000000" w14:paraId="0000000D">
      <w:pPr>
        <w:jc w:val="center"/>
        <w:rPr>
          <w:b w:val="1"/>
          <w:sz w:val="40"/>
          <w:szCs w:val="40"/>
          <w:u w:val="single"/>
        </w:rPr>
      </w:pPr>
      <w:r w:rsidDel="00000000" w:rsidR="00000000" w:rsidRPr="00000000">
        <w:rPr>
          <w:rtl w:val="0"/>
        </w:rPr>
      </w:r>
    </w:p>
    <w:p w:rsidR="00000000" w:rsidDel="00000000" w:rsidP="00000000" w:rsidRDefault="00000000" w:rsidRPr="00000000" w14:paraId="0000000E">
      <w:pPr>
        <w:jc w:val="center"/>
        <w:rPr>
          <w:b w:val="1"/>
          <w:sz w:val="40"/>
          <w:szCs w:val="40"/>
          <w:u w:val="single"/>
        </w:rPr>
      </w:pPr>
      <w:r w:rsidDel="00000000" w:rsidR="00000000" w:rsidRPr="00000000">
        <w:rPr>
          <w:rtl w:val="0"/>
        </w:rPr>
      </w:r>
    </w:p>
    <w:p w:rsidR="00000000" w:rsidDel="00000000" w:rsidP="00000000" w:rsidRDefault="00000000" w:rsidRPr="00000000" w14:paraId="0000000F">
      <w:pPr>
        <w:jc w:val="center"/>
        <w:rPr>
          <w:b w:val="1"/>
          <w:sz w:val="28"/>
          <w:szCs w:val="28"/>
        </w:rPr>
      </w:pPr>
      <w:r w:rsidDel="00000000" w:rsidR="00000000" w:rsidRPr="00000000">
        <w:rPr>
          <w:b w:val="1"/>
          <w:sz w:val="28"/>
          <w:szCs w:val="28"/>
          <w:rtl w:val="0"/>
        </w:rPr>
        <w:t xml:space="preserve">June 2022</w:t>
      </w:r>
    </w:p>
    <w:p w:rsidR="00000000" w:rsidDel="00000000" w:rsidP="00000000" w:rsidRDefault="00000000" w:rsidRPr="00000000" w14:paraId="00000010">
      <w:pPr>
        <w:jc w:val="center"/>
        <w:rPr>
          <w:b w:val="1"/>
          <w:sz w:val="32"/>
          <w:szCs w:val="32"/>
          <w:u w:val="single"/>
        </w:rPr>
      </w:pPr>
      <w:r w:rsidDel="00000000" w:rsidR="00000000" w:rsidRPr="00000000">
        <w:br w:type="page"/>
      </w:r>
      <w:r w:rsidDel="00000000" w:rsidR="00000000" w:rsidRPr="00000000">
        <w:rPr>
          <w:rtl w:val="0"/>
        </w:rPr>
      </w:r>
    </w:p>
    <w:p w:rsidR="00000000" w:rsidDel="00000000" w:rsidP="00000000" w:rsidRDefault="00000000" w:rsidRPr="00000000" w14:paraId="00000011">
      <w:pPr>
        <w:pStyle w:val="Heading1"/>
        <w:rPr/>
      </w:pPr>
      <w:r w:rsidDel="00000000" w:rsidR="00000000" w:rsidRPr="00000000">
        <w:rPr>
          <w:rtl w:val="0"/>
        </w:rPr>
        <w:t xml:space="preserve">DECLARATION</w:t>
      </w:r>
    </w:p>
    <w:p w:rsidR="00000000" w:rsidDel="00000000" w:rsidP="00000000" w:rsidRDefault="00000000" w:rsidRPr="00000000" w14:paraId="00000012">
      <w:pPr>
        <w:spacing w:after="0" w:lineRule="auto"/>
        <w:rPr>
          <w:b w:val="1"/>
          <w:sz w:val="24"/>
          <w:szCs w:val="24"/>
        </w:rPr>
      </w:pPr>
      <w:r w:rsidDel="00000000" w:rsidR="00000000" w:rsidRPr="00000000">
        <w:rPr>
          <w:b w:val="1"/>
          <w:sz w:val="24"/>
          <w:szCs w:val="24"/>
          <w:rtl w:val="0"/>
        </w:rPr>
        <w:t xml:space="preserve">Candidate:</w:t>
      </w:r>
    </w:p>
    <w:p w:rsidR="00000000" w:rsidDel="00000000" w:rsidP="00000000" w:rsidRDefault="00000000" w:rsidRPr="00000000" w14:paraId="00000013">
      <w:pPr>
        <w:spacing w:after="0" w:lineRule="auto"/>
        <w:rPr>
          <w:sz w:val="24"/>
          <w:szCs w:val="24"/>
        </w:rPr>
      </w:pPr>
      <w:r w:rsidDel="00000000" w:rsidR="00000000" w:rsidRPr="00000000">
        <w:rPr>
          <w:rtl w:val="0"/>
        </w:rPr>
      </w:r>
    </w:p>
    <w:p w:rsidR="00000000" w:rsidDel="00000000" w:rsidP="00000000" w:rsidRDefault="00000000" w:rsidRPr="00000000" w14:paraId="00000014">
      <w:pPr>
        <w:spacing w:after="0" w:lineRule="auto"/>
        <w:rPr>
          <w:sz w:val="24"/>
          <w:szCs w:val="24"/>
        </w:rPr>
      </w:pPr>
      <w:r w:rsidDel="00000000" w:rsidR="00000000" w:rsidRPr="00000000">
        <w:rPr>
          <w:sz w:val="24"/>
          <w:szCs w:val="24"/>
          <w:rtl w:val="0"/>
        </w:rPr>
        <w:t xml:space="preserve">In submission of this proposal, I acknowledge that it is my original work. No part of this work has been submitted by myself or by other persons to other institutions for other academic awards. </w:t>
      </w:r>
    </w:p>
    <w:p w:rsidR="00000000" w:rsidDel="00000000" w:rsidP="00000000" w:rsidRDefault="00000000" w:rsidRPr="00000000" w14:paraId="00000015">
      <w:pPr>
        <w:spacing w:after="0" w:lineRule="auto"/>
        <w:rPr>
          <w:sz w:val="24"/>
          <w:szCs w:val="24"/>
        </w:rPr>
      </w:pPr>
      <w:r w:rsidDel="00000000" w:rsidR="00000000" w:rsidRPr="00000000">
        <w:rPr>
          <w:rtl w:val="0"/>
        </w:rPr>
      </w:r>
    </w:p>
    <w:p w:rsidR="00000000" w:rsidDel="00000000" w:rsidP="00000000" w:rsidRDefault="00000000" w:rsidRPr="00000000" w14:paraId="00000016">
      <w:pPr>
        <w:spacing w:after="0" w:lineRule="auto"/>
        <w:rPr>
          <w:sz w:val="24"/>
          <w:szCs w:val="24"/>
        </w:rPr>
      </w:pPr>
      <w:r w:rsidDel="00000000" w:rsidR="00000000" w:rsidRPr="00000000">
        <w:rPr>
          <w:rtl w:val="0"/>
        </w:rPr>
      </w:r>
    </w:p>
    <w:p w:rsidR="00000000" w:rsidDel="00000000" w:rsidP="00000000" w:rsidRDefault="00000000" w:rsidRPr="00000000" w14:paraId="00000017">
      <w:pPr>
        <w:spacing w:after="0" w:lineRule="auto"/>
        <w:rPr>
          <w:sz w:val="24"/>
          <w:szCs w:val="24"/>
        </w:rPr>
      </w:pPr>
      <w:r w:rsidDel="00000000" w:rsidR="00000000" w:rsidRPr="00000000">
        <w:rPr>
          <w:sz w:val="24"/>
          <w:szCs w:val="24"/>
          <w:rtl w:val="0"/>
        </w:rPr>
        <w:t xml:space="preserve">Signed___________________ Date________________________ </w:t>
      </w:r>
    </w:p>
    <w:p w:rsidR="00000000" w:rsidDel="00000000" w:rsidP="00000000" w:rsidRDefault="00000000" w:rsidRPr="00000000" w14:paraId="00000018">
      <w:pPr>
        <w:spacing w:after="0" w:lineRule="auto"/>
        <w:rPr>
          <w:sz w:val="24"/>
          <w:szCs w:val="24"/>
        </w:rPr>
      </w:pPr>
      <w:r w:rsidDel="00000000" w:rsidR="00000000" w:rsidRPr="00000000">
        <w:rPr>
          <w:rtl w:val="0"/>
        </w:rPr>
      </w:r>
    </w:p>
    <w:p w:rsidR="00000000" w:rsidDel="00000000" w:rsidP="00000000" w:rsidRDefault="00000000" w:rsidRPr="00000000" w14:paraId="00000019">
      <w:pPr>
        <w:spacing w:after="0" w:lineRule="auto"/>
        <w:rPr>
          <w:sz w:val="24"/>
          <w:szCs w:val="24"/>
        </w:rPr>
      </w:pPr>
      <w:r w:rsidDel="00000000" w:rsidR="00000000" w:rsidRPr="00000000">
        <w:rPr>
          <w:sz w:val="24"/>
          <w:szCs w:val="24"/>
          <w:rtl w:val="0"/>
        </w:rPr>
        <w:t xml:space="preserve">Anbar Ganatra </w:t>
      </w:r>
    </w:p>
    <w:p w:rsidR="00000000" w:rsidDel="00000000" w:rsidP="00000000" w:rsidRDefault="00000000" w:rsidRPr="00000000" w14:paraId="0000001A">
      <w:pPr>
        <w:rPr>
          <w:b w:val="1"/>
          <w:sz w:val="24"/>
          <w:szCs w:val="24"/>
          <w:u w:val="single"/>
        </w:rPr>
      </w:pPr>
      <w:r w:rsidDel="00000000" w:rsidR="00000000" w:rsidRPr="00000000">
        <w:rPr>
          <w:rtl w:val="0"/>
        </w:rPr>
      </w:r>
    </w:p>
    <w:p w:rsidR="00000000" w:rsidDel="00000000" w:rsidP="00000000" w:rsidRDefault="00000000" w:rsidRPr="00000000" w14:paraId="0000001B">
      <w:pPr>
        <w:rPr>
          <w:b w:val="1"/>
          <w:sz w:val="24"/>
          <w:szCs w:val="24"/>
          <w:u w:val="single"/>
        </w:rPr>
      </w:pPr>
      <w:r w:rsidDel="00000000" w:rsidR="00000000" w:rsidRPr="00000000">
        <w:rPr>
          <w:rtl w:val="0"/>
        </w:rPr>
      </w:r>
    </w:p>
    <w:p w:rsidR="00000000" w:rsidDel="00000000" w:rsidP="00000000" w:rsidRDefault="00000000" w:rsidRPr="00000000" w14:paraId="0000001C">
      <w:pPr>
        <w:spacing w:after="0" w:lineRule="auto"/>
        <w:rPr>
          <w:b w:val="1"/>
          <w:sz w:val="24"/>
          <w:szCs w:val="24"/>
        </w:rPr>
      </w:pPr>
      <w:r w:rsidDel="00000000" w:rsidR="00000000" w:rsidRPr="00000000">
        <w:rPr>
          <w:b w:val="1"/>
          <w:sz w:val="24"/>
          <w:szCs w:val="24"/>
          <w:rtl w:val="0"/>
        </w:rPr>
        <w:t xml:space="preserve">Supervisors: </w:t>
      </w:r>
    </w:p>
    <w:p w:rsidR="00000000" w:rsidDel="00000000" w:rsidP="00000000" w:rsidRDefault="00000000" w:rsidRPr="00000000" w14:paraId="0000001D">
      <w:pPr>
        <w:spacing w:after="0" w:lineRule="auto"/>
        <w:rPr>
          <w:sz w:val="24"/>
          <w:szCs w:val="24"/>
        </w:rPr>
      </w:pPr>
      <w:r w:rsidDel="00000000" w:rsidR="00000000" w:rsidRPr="00000000">
        <w:rPr>
          <w:rtl w:val="0"/>
        </w:rPr>
      </w:r>
    </w:p>
    <w:p w:rsidR="00000000" w:rsidDel="00000000" w:rsidP="00000000" w:rsidRDefault="00000000" w:rsidRPr="00000000" w14:paraId="0000001E">
      <w:pPr>
        <w:spacing w:after="0" w:lineRule="auto"/>
        <w:rPr>
          <w:sz w:val="24"/>
          <w:szCs w:val="24"/>
        </w:rPr>
      </w:pPr>
      <w:r w:rsidDel="00000000" w:rsidR="00000000" w:rsidRPr="00000000">
        <w:rPr>
          <w:sz w:val="24"/>
          <w:szCs w:val="24"/>
          <w:rtl w:val="0"/>
        </w:rPr>
        <w:t xml:space="preserve">This proposal was submitted for examination with our approval as the supervisors: </w:t>
      </w:r>
    </w:p>
    <w:p w:rsidR="00000000" w:rsidDel="00000000" w:rsidP="00000000" w:rsidRDefault="00000000" w:rsidRPr="00000000" w14:paraId="0000001F">
      <w:pPr>
        <w:spacing w:after="0" w:lineRule="auto"/>
        <w:rPr>
          <w:sz w:val="24"/>
          <w:szCs w:val="24"/>
        </w:rPr>
      </w:pPr>
      <w:r w:rsidDel="00000000" w:rsidR="00000000" w:rsidRPr="00000000">
        <w:rPr>
          <w:rtl w:val="0"/>
        </w:rPr>
      </w:r>
    </w:p>
    <w:p w:rsidR="00000000" w:rsidDel="00000000" w:rsidP="00000000" w:rsidRDefault="00000000" w:rsidRPr="00000000" w14:paraId="00000020">
      <w:pPr>
        <w:spacing w:after="0" w:lineRule="auto"/>
        <w:ind w:left="720" w:firstLine="0"/>
        <w:rPr>
          <w:sz w:val="24"/>
          <w:szCs w:val="24"/>
        </w:rPr>
      </w:pPr>
      <w:r w:rsidDel="00000000" w:rsidR="00000000" w:rsidRPr="00000000">
        <w:rPr>
          <w:rtl w:val="0"/>
        </w:rPr>
      </w:r>
    </w:p>
    <w:p w:rsidR="00000000" w:rsidDel="00000000" w:rsidP="00000000" w:rsidRDefault="00000000" w:rsidRPr="00000000" w14:paraId="00000021">
      <w:pPr>
        <w:spacing w:after="0" w:lineRule="auto"/>
        <w:rPr>
          <w:sz w:val="24"/>
          <w:szCs w:val="24"/>
        </w:rPr>
      </w:pPr>
      <w:r w:rsidDel="00000000" w:rsidR="00000000" w:rsidRPr="00000000">
        <w:rPr>
          <w:rtl w:val="0"/>
        </w:rPr>
      </w:r>
    </w:p>
    <w:p w:rsidR="00000000" w:rsidDel="00000000" w:rsidP="00000000" w:rsidRDefault="00000000" w:rsidRPr="00000000" w14:paraId="00000022">
      <w:pPr>
        <w:spacing w:after="0" w:lineRule="auto"/>
        <w:rPr>
          <w:sz w:val="24"/>
          <w:szCs w:val="24"/>
        </w:rPr>
      </w:pPr>
      <w:r w:rsidDel="00000000" w:rsidR="00000000" w:rsidRPr="00000000">
        <w:rPr>
          <w:sz w:val="24"/>
          <w:szCs w:val="24"/>
          <w:rtl w:val="0"/>
        </w:rPr>
        <w:t xml:space="preserve">Signed___________________ Date______________________ </w:t>
      </w:r>
    </w:p>
    <w:p w:rsidR="00000000" w:rsidDel="00000000" w:rsidP="00000000" w:rsidRDefault="00000000" w:rsidRPr="00000000" w14:paraId="00000023">
      <w:pPr>
        <w:spacing w:after="0" w:lineRule="auto"/>
        <w:rPr>
          <w:sz w:val="24"/>
          <w:szCs w:val="24"/>
        </w:rPr>
      </w:pPr>
      <w:r w:rsidDel="00000000" w:rsidR="00000000" w:rsidRPr="00000000">
        <w:rPr>
          <w:rtl w:val="0"/>
        </w:rPr>
      </w:r>
    </w:p>
    <w:p w:rsidR="00000000" w:rsidDel="00000000" w:rsidP="00000000" w:rsidRDefault="00000000" w:rsidRPr="00000000" w14:paraId="00000024">
      <w:pPr>
        <w:spacing w:after="0" w:lineRule="auto"/>
        <w:rPr>
          <w:b w:val="1"/>
          <w:sz w:val="24"/>
          <w:szCs w:val="24"/>
        </w:rPr>
      </w:pPr>
      <w:r w:rsidDel="00000000" w:rsidR="00000000" w:rsidRPr="00000000">
        <w:rPr>
          <w:rtl w:val="0"/>
        </w:rPr>
      </w:r>
    </w:p>
    <w:p w:rsidR="00000000" w:rsidDel="00000000" w:rsidP="00000000" w:rsidRDefault="00000000" w:rsidRPr="00000000" w14:paraId="00000025">
      <w:pPr>
        <w:spacing w:after="0" w:lineRule="auto"/>
        <w:rPr>
          <w:b w:val="1"/>
          <w:sz w:val="24"/>
          <w:szCs w:val="24"/>
        </w:rPr>
      </w:pPr>
      <w:r w:rsidDel="00000000" w:rsidR="00000000" w:rsidRPr="00000000">
        <w:rPr>
          <w:rtl w:val="0"/>
        </w:rPr>
      </w:r>
    </w:p>
    <w:p w:rsidR="00000000" w:rsidDel="00000000" w:rsidP="00000000" w:rsidRDefault="00000000" w:rsidRPr="00000000" w14:paraId="00000026">
      <w:pPr>
        <w:spacing w:after="0" w:lineRule="auto"/>
        <w:rPr>
          <w:b w:val="1"/>
          <w:sz w:val="24"/>
          <w:szCs w:val="24"/>
        </w:rPr>
      </w:pPr>
      <w:r w:rsidDel="00000000" w:rsidR="00000000" w:rsidRPr="00000000">
        <w:rPr>
          <w:b w:val="1"/>
          <w:sz w:val="24"/>
          <w:szCs w:val="24"/>
          <w:rtl w:val="0"/>
        </w:rPr>
        <w:t xml:space="preserve">2. </w:t>
      </w:r>
    </w:p>
    <w:p w:rsidR="00000000" w:rsidDel="00000000" w:rsidP="00000000" w:rsidRDefault="00000000" w:rsidRPr="00000000" w14:paraId="00000027">
      <w:pPr>
        <w:spacing w:after="0" w:lineRule="auto"/>
        <w:rPr>
          <w:b w:val="1"/>
          <w:sz w:val="24"/>
          <w:szCs w:val="24"/>
        </w:rPr>
      </w:pPr>
      <w:r w:rsidDel="00000000" w:rsidR="00000000" w:rsidRPr="00000000">
        <w:rPr>
          <w:rtl w:val="0"/>
        </w:rPr>
      </w:r>
    </w:p>
    <w:p w:rsidR="00000000" w:rsidDel="00000000" w:rsidP="00000000" w:rsidRDefault="00000000" w:rsidRPr="00000000" w14:paraId="00000028">
      <w:pPr>
        <w:spacing w:after="0" w:lineRule="auto"/>
        <w:rPr>
          <w:sz w:val="24"/>
          <w:szCs w:val="24"/>
        </w:rPr>
      </w:pPr>
      <w:r w:rsidDel="00000000" w:rsidR="00000000" w:rsidRPr="00000000">
        <w:rPr>
          <w:rtl w:val="0"/>
        </w:rPr>
      </w:r>
    </w:p>
    <w:p w:rsidR="00000000" w:rsidDel="00000000" w:rsidP="00000000" w:rsidRDefault="00000000" w:rsidRPr="00000000" w14:paraId="00000029">
      <w:pPr>
        <w:spacing w:after="0" w:lineRule="auto"/>
        <w:rPr>
          <w:sz w:val="24"/>
          <w:szCs w:val="24"/>
        </w:rPr>
      </w:pPr>
      <w:r w:rsidDel="00000000" w:rsidR="00000000" w:rsidRPr="00000000">
        <w:rPr>
          <w:rtl w:val="0"/>
        </w:rPr>
      </w:r>
    </w:p>
    <w:p w:rsidR="00000000" w:rsidDel="00000000" w:rsidP="00000000" w:rsidRDefault="00000000" w:rsidRPr="00000000" w14:paraId="0000002A">
      <w:pPr>
        <w:spacing w:after="0" w:lineRule="auto"/>
        <w:rPr>
          <w:sz w:val="24"/>
          <w:szCs w:val="24"/>
        </w:rPr>
      </w:pPr>
      <w:r w:rsidDel="00000000" w:rsidR="00000000" w:rsidRPr="00000000">
        <w:rPr>
          <w:sz w:val="24"/>
          <w:szCs w:val="24"/>
          <w:rtl w:val="0"/>
        </w:rPr>
        <w:t xml:space="preserve">Signed___________________ Date_______________________</w:t>
      </w:r>
    </w:p>
    <w:p w:rsidR="00000000" w:rsidDel="00000000" w:rsidP="00000000" w:rsidRDefault="00000000" w:rsidRPr="00000000" w14:paraId="0000002B">
      <w:pPr>
        <w:rPr>
          <w:b w:val="1"/>
          <w:u w:val="single"/>
        </w:rPr>
      </w:pPr>
      <w:r w:rsidDel="00000000" w:rsidR="00000000" w:rsidRPr="00000000">
        <w:rPr>
          <w:rtl w:val="0"/>
        </w:rPr>
      </w:r>
    </w:p>
    <w:p w:rsidR="00000000" w:rsidDel="00000000" w:rsidP="00000000" w:rsidRDefault="00000000" w:rsidRPr="00000000" w14:paraId="0000002C">
      <w:pPr>
        <w:rPr>
          <w:b w:val="1"/>
          <w:u w:val="single"/>
        </w:rPr>
      </w:pPr>
      <w:r w:rsidDel="00000000" w:rsidR="00000000" w:rsidRPr="00000000">
        <w:rPr>
          <w:rtl w:val="0"/>
        </w:rPr>
      </w:r>
    </w:p>
    <w:p w:rsidR="00000000" w:rsidDel="00000000" w:rsidP="00000000" w:rsidRDefault="00000000" w:rsidRPr="00000000" w14:paraId="0000002D">
      <w:pPr>
        <w:rPr>
          <w:b w:val="1"/>
          <w:u w:val="single"/>
        </w:rPr>
      </w:pPr>
      <w:r w:rsidDel="00000000" w:rsidR="00000000" w:rsidRPr="00000000">
        <w:rPr>
          <w:rtl w:val="0"/>
        </w:rPr>
      </w:r>
    </w:p>
    <w:p w:rsidR="00000000" w:rsidDel="00000000" w:rsidP="00000000" w:rsidRDefault="00000000" w:rsidRPr="00000000" w14:paraId="0000002E">
      <w:pPr>
        <w:rPr>
          <w:b w:val="1"/>
          <w:u w:val="single"/>
        </w:rPr>
      </w:pPr>
      <w:r w:rsidDel="00000000" w:rsidR="00000000" w:rsidRPr="00000000">
        <w:rPr>
          <w:rtl w:val="0"/>
        </w:rPr>
      </w:r>
    </w:p>
    <w:p w:rsidR="00000000" w:rsidDel="00000000" w:rsidP="00000000" w:rsidRDefault="00000000" w:rsidRPr="00000000" w14:paraId="0000002F">
      <w:pPr>
        <w:rPr>
          <w:b w:val="1"/>
          <w:u w:val="single"/>
        </w:rPr>
      </w:pPr>
      <w:r w:rsidDel="00000000" w:rsidR="00000000" w:rsidRPr="00000000">
        <w:rPr>
          <w:rtl w:val="0"/>
        </w:rPr>
      </w:r>
    </w:p>
    <w:p w:rsidR="00000000" w:rsidDel="00000000" w:rsidP="00000000" w:rsidRDefault="00000000" w:rsidRPr="00000000" w14:paraId="00000030">
      <w:pPr>
        <w:rPr>
          <w:b w:val="1"/>
          <w:u w:val="single"/>
        </w:rPr>
      </w:pPr>
      <w:r w:rsidDel="00000000" w:rsidR="00000000" w:rsidRPr="00000000">
        <w:rPr>
          <w:rtl w:val="0"/>
        </w:rPr>
      </w:r>
    </w:p>
    <w:p w:rsidR="00000000" w:rsidDel="00000000" w:rsidP="00000000" w:rsidRDefault="00000000" w:rsidRPr="00000000" w14:paraId="00000031">
      <w:pPr>
        <w:rPr>
          <w:b w:val="1"/>
          <w:u w:val="single"/>
        </w:rPr>
      </w:pPr>
      <w:r w:rsidDel="00000000" w:rsidR="00000000" w:rsidRPr="00000000">
        <w:rPr>
          <w:rtl w:val="0"/>
        </w:rPr>
      </w:r>
    </w:p>
    <w:p w:rsidR="00000000" w:rsidDel="00000000" w:rsidP="00000000" w:rsidRDefault="00000000" w:rsidRPr="00000000" w14:paraId="00000032">
      <w:pPr>
        <w:rPr>
          <w:b w:val="1"/>
          <w:u w:val="single"/>
        </w:rPr>
      </w:pPr>
      <w:r w:rsidDel="00000000" w:rsidR="00000000" w:rsidRPr="00000000">
        <w:rPr>
          <w:rtl w:val="0"/>
        </w:rPr>
      </w:r>
    </w:p>
    <w:p w:rsidR="00000000" w:rsidDel="00000000" w:rsidP="00000000" w:rsidRDefault="00000000" w:rsidRPr="00000000" w14:paraId="00000033">
      <w:pPr>
        <w:rPr>
          <w:b w:val="1"/>
          <w:u w:val="single"/>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keepNext w:val="1"/>
        <w:keepLines w:val="1"/>
        <w:pBdr>
          <w:top w:space="0" w:sz="0" w:val="nil"/>
          <w:left w:space="0" w:sz="0" w:val="nil"/>
          <w:bottom w:space="0" w:sz="0" w:val="nil"/>
          <w:right w:space="0" w:sz="0" w:val="nil"/>
          <w:between w:space="0" w:sz="0" w:val="nil"/>
        </w:pBdr>
        <w:spacing w:after="0" w:before="480" w:line="276" w:lineRule="auto"/>
        <w:jc w:val="left"/>
        <w:rPr>
          <w:b w:val="1"/>
          <w:color w:val="2f5496"/>
          <w:sz w:val="32"/>
          <w:szCs w:val="32"/>
        </w:rPr>
      </w:pPr>
      <w:r w:rsidDel="00000000" w:rsidR="00000000" w:rsidRPr="00000000">
        <w:rPr>
          <w:b w:val="1"/>
          <w:color w:val="2f5496"/>
          <w:sz w:val="32"/>
          <w:szCs w:val="32"/>
          <w:rtl w:val="0"/>
        </w:rPr>
        <w:t xml:space="preserve">TABLE OF CONTENTS</w:t>
      </w:r>
    </w:p>
    <w:sdt>
      <w:sdtPr>
        <w:docPartObj>
          <w:docPartGallery w:val="Table of Contents"/>
          <w:docPartUnique w:val="1"/>
        </w:docPartObj>
      </w:sdtPr>
      <w:sdtContent>
        <w:p w:rsidR="00000000" w:rsidDel="00000000" w:rsidP="00000000" w:rsidRDefault="00000000" w:rsidRPr="00000000" w14:paraId="00000036">
          <w:pPr>
            <w:pBdr>
              <w:top w:space="0" w:sz="0" w:val="nil"/>
              <w:left w:space="0" w:sz="0" w:val="nil"/>
              <w:bottom w:space="0" w:sz="0" w:val="nil"/>
              <w:right w:space="0" w:sz="0" w:val="nil"/>
              <w:between w:space="0" w:sz="0" w:val="nil"/>
            </w:pBdr>
            <w:tabs>
              <w:tab w:val="right" w:pos="9350"/>
            </w:tabs>
            <w:spacing w:after="0" w:before="120" w:line="192" w:lineRule="auto"/>
            <w:rPr>
              <w:color w:val="000000"/>
              <w:sz w:val="24"/>
              <w:szCs w:val="24"/>
            </w:rPr>
          </w:pPr>
          <w:r w:rsidDel="00000000" w:rsidR="00000000" w:rsidRPr="00000000">
            <w:fldChar w:fldCharType="begin"/>
            <w:instrText xml:space="preserve"> TOC \h \u \z </w:instrText>
            <w:fldChar w:fldCharType="separate"/>
          </w:r>
          <w:hyperlink w:anchor="_gjdgxs">
            <w:r w:rsidDel="00000000" w:rsidR="00000000" w:rsidRPr="00000000">
              <w:rPr>
                <w:b w:val="1"/>
                <w:color w:val="000000"/>
                <w:sz w:val="24"/>
                <w:szCs w:val="24"/>
                <w:rtl w:val="0"/>
              </w:rPr>
              <w:t xml:space="preserve">DECLARATION</w:t>
              <w:tab/>
              <w:t xml:space="preserve">2</w:t>
            </w:r>
          </w:hyperlink>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tabs>
              <w:tab w:val="right" w:pos="9350"/>
            </w:tabs>
            <w:spacing w:after="0" w:before="120" w:line="192" w:lineRule="auto"/>
            <w:rPr>
              <w:color w:val="000000"/>
              <w:sz w:val="24"/>
              <w:szCs w:val="24"/>
            </w:rPr>
          </w:pPr>
          <w:hyperlink w:anchor="_30j0zll">
            <w:r w:rsidDel="00000000" w:rsidR="00000000" w:rsidRPr="00000000">
              <w:rPr>
                <w:b w:val="1"/>
                <w:color w:val="000000"/>
                <w:sz w:val="24"/>
                <w:szCs w:val="24"/>
                <w:rtl w:val="0"/>
              </w:rPr>
              <w:t xml:space="preserve">LIST OF ABBREVIATIONS AND ACRONYMS</w:t>
              <w:tab/>
              <w:t xml:space="preserve">3</w:t>
            </w:r>
          </w:hyperlink>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tabs>
              <w:tab w:val="right" w:pos="9350"/>
            </w:tabs>
            <w:spacing w:after="0" w:before="120" w:line="192" w:lineRule="auto"/>
            <w:rPr>
              <w:color w:val="000000"/>
              <w:sz w:val="24"/>
              <w:szCs w:val="24"/>
            </w:rPr>
          </w:pPr>
          <w:hyperlink w:anchor="_1fob9te">
            <w:r w:rsidDel="00000000" w:rsidR="00000000" w:rsidRPr="00000000">
              <w:rPr>
                <w:b w:val="1"/>
                <w:color w:val="000000"/>
                <w:sz w:val="24"/>
                <w:szCs w:val="24"/>
                <w:rtl w:val="0"/>
              </w:rPr>
              <w:t xml:space="preserve">ABSTRACT</w:t>
              <w:tab/>
              <w:t xml:space="preserve">4</w:t>
            </w:r>
          </w:hyperlink>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tabs>
              <w:tab w:val="right" w:pos="9350"/>
            </w:tabs>
            <w:spacing w:after="0" w:before="120" w:line="192" w:lineRule="auto"/>
            <w:rPr>
              <w:color w:val="000000"/>
              <w:sz w:val="24"/>
              <w:szCs w:val="24"/>
            </w:rPr>
          </w:pPr>
          <w:hyperlink w:anchor="_3znysh7">
            <w:r w:rsidDel="00000000" w:rsidR="00000000" w:rsidRPr="00000000">
              <w:rPr>
                <w:b w:val="1"/>
                <w:color w:val="000000"/>
                <w:sz w:val="24"/>
                <w:szCs w:val="24"/>
                <w:rtl w:val="0"/>
              </w:rPr>
              <w:t xml:space="preserve">SECTION ONE: INTRODUCTION</w:t>
              <w:tab/>
              <w:t xml:space="preserve">7</w:t>
            </w:r>
          </w:hyperlink>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2et92p0">
            <w:r w:rsidDel="00000000" w:rsidR="00000000" w:rsidRPr="00000000">
              <w:rPr>
                <w:b w:val="1"/>
                <w:color w:val="000000"/>
                <w:sz w:val="24"/>
                <w:szCs w:val="24"/>
                <w:rtl w:val="0"/>
              </w:rPr>
              <w:t xml:space="preserve">1.1 Background</w:t>
              <w:tab/>
              <w:t xml:space="preserve">7</w:t>
            </w:r>
          </w:hyperlink>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tyjcwt">
            <w:r w:rsidDel="00000000" w:rsidR="00000000" w:rsidRPr="00000000">
              <w:rPr>
                <w:b w:val="1"/>
                <w:color w:val="000000"/>
                <w:sz w:val="24"/>
                <w:szCs w:val="24"/>
                <w:rtl w:val="0"/>
              </w:rPr>
              <w:t xml:space="preserve">1.2 Problem Statement</w:t>
              <w:tab/>
              <w:t xml:space="preserve">8</w:t>
            </w:r>
          </w:hyperlink>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3dy6vkm">
            <w:r w:rsidDel="00000000" w:rsidR="00000000" w:rsidRPr="00000000">
              <w:rPr>
                <w:b w:val="1"/>
                <w:color w:val="000000"/>
                <w:sz w:val="24"/>
                <w:szCs w:val="24"/>
                <w:rtl w:val="0"/>
              </w:rPr>
              <w:t xml:space="preserve">1.3 Rationale for the Study</w:t>
              <w:tab/>
              <w:t xml:space="preserve">8</w:t>
            </w:r>
          </w:hyperlink>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1t3h5sf">
            <w:r w:rsidDel="00000000" w:rsidR="00000000" w:rsidRPr="00000000">
              <w:rPr>
                <w:b w:val="1"/>
                <w:color w:val="000000"/>
                <w:sz w:val="24"/>
                <w:szCs w:val="24"/>
                <w:rtl w:val="0"/>
              </w:rPr>
              <w:t xml:space="preserve">1.4 Research Questions</w:t>
              <w:tab/>
              <w:t xml:space="preserve">8</w:t>
            </w:r>
          </w:hyperlink>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4d34og8">
            <w:r w:rsidDel="00000000" w:rsidR="00000000" w:rsidRPr="00000000">
              <w:rPr>
                <w:b w:val="1"/>
                <w:color w:val="000000"/>
                <w:sz w:val="24"/>
                <w:szCs w:val="24"/>
                <w:rtl w:val="0"/>
              </w:rPr>
              <w:t xml:space="preserve">1.5 Objectives of the Study</w:t>
              <w:tab/>
              <w:t xml:space="preserve">8</w:t>
            </w:r>
          </w:hyperlink>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tabs>
              <w:tab w:val="right" w:pos="9350"/>
            </w:tabs>
            <w:spacing w:after="0" w:line="192" w:lineRule="auto"/>
            <w:ind w:left="440" w:firstLine="0"/>
            <w:rPr>
              <w:color w:val="000000"/>
              <w:sz w:val="24"/>
              <w:szCs w:val="24"/>
            </w:rPr>
          </w:pPr>
          <w:hyperlink w:anchor="_2s8eyo1">
            <w:r w:rsidDel="00000000" w:rsidR="00000000" w:rsidRPr="00000000">
              <w:rPr>
                <w:color w:val="000000"/>
                <w:sz w:val="24"/>
                <w:szCs w:val="24"/>
                <w:rtl w:val="0"/>
              </w:rPr>
              <w:t xml:space="preserve">1.5.1 General Objective</w:t>
              <w:tab/>
              <w:t xml:space="preserve">8</w:t>
            </w:r>
          </w:hyperlink>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tabs>
              <w:tab w:val="right" w:pos="9350"/>
            </w:tabs>
            <w:spacing w:after="0" w:line="192" w:lineRule="auto"/>
            <w:ind w:left="440" w:firstLine="0"/>
            <w:rPr>
              <w:color w:val="000000"/>
              <w:sz w:val="24"/>
              <w:szCs w:val="24"/>
            </w:rPr>
          </w:pPr>
          <w:hyperlink w:anchor="_17dp8vu">
            <w:r w:rsidDel="00000000" w:rsidR="00000000" w:rsidRPr="00000000">
              <w:rPr>
                <w:color w:val="000000"/>
                <w:sz w:val="24"/>
                <w:szCs w:val="24"/>
                <w:rtl w:val="0"/>
              </w:rPr>
              <w:t xml:space="preserve">1.5.2 Specific Objectives</w:t>
              <w:tab/>
              <w:t xml:space="preserve">8</w:t>
            </w:r>
          </w:hyperlink>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3rdcrjn">
            <w:r w:rsidDel="00000000" w:rsidR="00000000" w:rsidRPr="00000000">
              <w:rPr>
                <w:b w:val="1"/>
                <w:color w:val="000000"/>
                <w:sz w:val="24"/>
                <w:szCs w:val="24"/>
                <w:rtl w:val="0"/>
              </w:rPr>
              <w:t xml:space="preserve">1.6 Research Hypothesis</w:t>
              <w:tab/>
              <w:t xml:space="preserve">8</w:t>
            </w:r>
          </w:hyperlink>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26in1rg">
            <w:r w:rsidDel="00000000" w:rsidR="00000000" w:rsidRPr="00000000">
              <w:rPr>
                <w:b w:val="1"/>
                <w:color w:val="000000"/>
                <w:sz w:val="24"/>
                <w:szCs w:val="24"/>
                <w:rtl w:val="0"/>
              </w:rPr>
              <w:t xml:space="preserve">1.7 Conceptual Framework</w:t>
              <w:tab/>
              <w:t xml:space="preserve">8</w:t>
            </w:r>
          </w:hyperlink>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lnxbz9">
            <w:r w:rsidDel="00000000" w:rsidR="00000000" w:rsidRPr="00000000">
              <w:rPr>
                <w:b w:val="1"/>
                <w:color w:val="000000"/>
                <w:sz w:val="24"/>
                <w:szCs w:val="24"/>
                <w:rtl w:val="0"/>
              </w:rPr>
              <w:t xml:space="preserve">1.8 Significance of the Study</w:t>
              <w:tab/>
              <w:t xml:space="preserve">8</w:t>
            </w:r>
          </w:hyperlink>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tabs>
              <w:tab w:val="right" w:pos="9350"/>
            </w:tabs>
            <w:spacing w:after="0" w:before="120" w:line="192" w:lineRule="auto"/>
            <w:rPr>
              <w:color w:val="000000"/>
              <w:sz w:val="24"/>
              <w:szCs w:val="24"/>
            </w:rPr>
          </w:pPr>
          <w:hyperlink w:anchor="_35nkun2">
            <w:r w:rsidDel="00000000" w:rsidR="00000000" w:rsidRPr="00000000">
              <w:rPr>
                <w:b w:val="1"/>
                <w:color w:val="000000"/>
                <w:sz w:val="24"/>
                <w:szCs w:val="24"/>
                <w:rtl w:val="0"/>
              </w:rPr>
              <w:t xml:space="preserve">SECTION TWO: LITERATURE REVIEW</w:t>
              <w:tab/>
              <w:t xml:space="preserve">9</w:t>
            </w:r>
          </w:hyperlink>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1ksv4uv">
            <w:r w:rsidDel="00000000" w:rsidR="00000000" w:rsidRPr="00000000">
              <w:rPr>
                <w:b w:val="1"/>
                <w:color w:val="000000"/>
                <w:sz w:val="24"/>
                <w:szCs w:val="24"/>
                <w:rtl w:val="0"/>
              </w:rPr>
              <w:t xml:space="preserve">2.1 Introduction</w:t>
              <w:tab/>
              <w:t xml:space="preserve">9</w:t>
            </w:r>
          </w:hyperlink>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44sinio">
            <w:r w:rsidDel="00000000" w:rsidR="00000000" w:rsidRPr="00000000">
              <w:rPr>
                <w:b w:val="1"/>
                <w:color w:val="000000"/>
                <w:sz w:val="24"/>
                <w:szCs w:val="24"/>
                <w:rtl w:val="0"/>
              </w:rPr>
              <w:t xml:space="preserve">2.2 Theoretical Literature</w:t>
              <w:tab/>
              <w:t xml:space="preserve">9</w:t>
            </w:r>
          </w:hyperlink>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2jxsxqh">
            <w:r w:rsidDel="00000000" w:rsidR="00000000" w:rsidRPr="00000000">
              <w:rPr>
                <w:b w:val="1"/>
                <w:color w:val="000000"/>
                <w:sz w:val="24"/>
                <w:szCs w:val="24"/>
                <w:rtl w:val="0"/>
              </w:rPr>
              <w:t xml:space="preserve">2.3 Empirical Literature</w:t>
              <w:tab/>
              <w:t xml:space="preserve">9</w:t>
            </w:r>
          </w:hyperlink>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z337ya">
            <w:r w:rsidDel="00000000" w:rsidR="00000000" w:rsidRPr="00000000">
              <w:rPr>
                <w:b w:val="1"/>
                <w:color w:val="000000"/>
                <w:sz w:val="24"/>
                <w:szCs w:val="24"/>
                <w:rtl w:val="0"/>
              </w:rPr>
              <w:t xml:space="preserve">2.4 Summary of the Reviewed Literature</w:t>
              <w:tab/>
              <w:t xml:space="preserve">9</w:t>
            </w:r>
          </w:hyperlink>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right" w:pos="9350"/>
            </w:tabs>
            <w:spacing w:after="0" w:before="120" w:line="192" w:lineRule="auto"/>
            <w:rPr>
              <w:color w:val="000000"/>
              <w:sz w:val="24"/>
              <w:szCs w:val="24"/>
            </w:rPr>
          </w:pPr>
          <w:hyperlink w:anchor="_3j2qqm3">
            <w:r w:rsidDel="00000000" w:rsidR="00000000" w:rsidRPr="00000000">
              <w:rPr>
                <w:b w:val="1"/>
                <w:color w:val="000000"/>
                <w:sz w:val="24"/>
                <w:szCs w:val="24"/>
                <w:rtl w:val="0"/>
              </w:rPr>
              <w:t xml:space="preserve">CHAPTER THREE: METHODOLOGY</w:t>
              <w:tab/>
              <w:t xml:space="preserve">11</w:t>
            </w:r>
          </w:hyperlink>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1y810tw">
            <w:r w:rsidDel="00000000" w:rsidR="00000000" w:rsidRPr="00000000">
              <w:rPr>
                <w:b w:val="1"/>
                <w:color w:val="000000"/>
                <w:sz w:val="24"/>
                <w:szCs w:val="24"/>
                <w:rtl w:val="0"/>
              </w:rPr>
              <w:t xml:space="preserve">3.1 Introduction</w:t>
              <w:tab/>
              <w:t xml:space="preserve">11</w:t>
            </w:r>
          </w:hyperlink>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4i7ojhp">
            <w:r w:rsidDel="00000000" w:rsidR="00000000" w:rsidRPr="00000000">
              <w:rPr>
                <w:b w:val="1"/>
                <w:color w:val="000000"/>
                <w:sz w:val="24"/>
                <w:szCs w:val="24"/>
                <w:rtl w:val="0"/>
              </w:rPr>
              <w:t xml:space="preserve">3.2 Study Design</w:t>
              <w:tab/>
              <w:t xml:space="preserve">11</w:t>
            </w:r>
          </w:hyperlink>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2xcytpi">
            <w:r w:rsidDel="00000000" w:rsidR="00000000" w:rsidRPr="00000000">
              <w:rPr>
                <w:b w:val="1"/>
                <w:color w:val="000000"/>
                <w:sz w:val="24"/>
                <w:szCs w:val="24"/>
                <w:rtl w:val="0"/>
              </w:rPr>
              <w:t xml:space="preserve">3.3 Study Area</w:t>
              <w:tab/>
              <w:t xml:space="preserve">11</w:t>
            </w:r>
          </w:hyperlink>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1ci93xb">
            <w:r w:rsidDel="00000000" w:rsidR="00000000" w:rsidRPr="00000000">
              <w:rPr>
                <w:b w:val="1"/>
                <w:color w:val="000000"/>
                <w:sz w:val="24"/>
                <w:szCs w:val="24"/>
                <w:rtl w:val="0"/>
              </w:rPr>
              <w:t xml:space="preserve">3.4 Study Population</w:t>
              <w:tab/>
              <w:t xml:space="preserve">11</w:t>
            </w:r>
          </w:hyperlink>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3whwml4">
            <w:r w:rsidDel="00000000" w:rsidR="00000000" w:rsidRPr="00000000">
              <w:rPr>
                <w:b w:val="1"/>
                <w:color w:val="000000"/>
                <w:sz w:val="24"/>
                <w:szCs w:val="24"/>
                <w:rtl w:val="0"/>
              </w:rPr>
              <w:t xml:space="preserve">3.5 Sample Size and Sampling Approaches</w:t>
              <w:tab/>
              <w:t xml:space="preserve">11</w:t>
            </w:r>
          </w:hyperlink>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2bn6wsx">
            <w:r w:rsidDel="00000000" w:rsidR="00000000" w:rsidRPr="00000000">
              <w:rPr>
                <w:b w:val="1"/>
                <w:color w:val="000000"/>
                <w:sz w:val="24"/>
                <w:szCs w:val="24"/>
                <w:rtl w:val="0"/>
              </w:rPr>
              <w:t xml:space="preserve">3.6 Instruments of Data Collection, Data Collection and Data Management</w:t>
              <w:tab/>
              <w:t xml:space="preserve">11</w:t>
            </w:r>
          </w:hyperlink>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qsh70q">
            <w:r w:rsidDel="00000000" w:rsidR="00000000" w:rsidRPr="00000000">
              <w:rPr>
                <w:b w:val="1"/>
                <w:color w:val="000000"/>
                <w:sz w:val="24"/>
                <w:szCs w:val="24"/>
                <w:rtl w:val="0"/>
              </w:rPr>
              <w:t xml:space="preserve">3.7 Reliability and Validity</w:t>
              <w:tab/>
              <w:t xml:space="preserve">11</w:t>
            </w:r>
          </w:hyperlink>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3as4poj">
            <w:r w:rsidDel="00000000" w:rsidR="00000000" w:rsidRPr="00000000">
              <w:rPr>
                <w:b w:val="1"/>
                <w:color w:val="000000"/>
                <w:sz w:val="24"/>
                <w:szCs w:val="24"/>
                <w:rtl w:val="0"/>
              </w:rPr>
              <w:t xml:space="preserve">3.8 Data Quality Measures</w:t>
              <w:tab/>
              <w:t xml:space="preserve">11</w:t>
            </w:r>
          </w:hyperlink>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1pxezwc">
            <w:r w:rsidDel="00000000" w:rsidR="00000000" w:rsidRPr="00000000">
              <w:rPr>
                <w:b w:val="1"/>
                <w:color w:val="000000"/>
                <w:sz w:val="24"/>
                <w:szCs w:val="24"/>
                <w:rtl w:val="0"/>
              </w:rPr>
              <w:t xml:space="preserve">3.9 Data Management and Analysis</w:t>
              <w:tab/>
              <w:t xml:space="preserve">11</w:t>
            </w:r>
          </w:hyperlink>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49x2ik5">
            <w:r w:rsidDel="00000000" w:rsidR="00000000" w:rsidRPr="00000000">
              <w:rPr>
                <w:b w:val="1"/>
                <w:color w:val="000000"/>
                <w:sz w:val="24"/>
                <w:szCs w:val="24"/>
                <w:rtl w:val="0"/>
              </w:rPr>
              <w:t xml:space="preserve">3.10 Ethical Considerations</w:t>
              <w:tab/>
              <w:t xml:space="preserve">11</w:t>
            </w:r>
          </w:hyperlink>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right" w:pos="9350"/>
            </w:tabs>
            <w:spacing w:after="0" w:before="120" w:line="192" w:lineRule="auto"/>
            <w:rPr>
              <w:color w:val="000000"/>
              <w:sz w:val="24"/>
              <w:szCs w:val="24"/>
            </w:rPr>
          </w:pPr>
          <w:hyperlink w:anchor="_2p2csry">
            <w:r w:rsidDel="00000000" w:rsidR="00000000" w:rsidRPr="00000000">
              <w:rPr>
                <w:b w:val="1"/>
                <w:color w:val="000000"/>
                <w:sz w:val="24"/>
                <w:szCs w:val="24"/>
                <w:rtl w:val="0"/>
              </w:rPr>
              <w:t xml:space="preserve">SECTION FOUR: LIST OF ANNEXES</w:t>
              <w:tab/>
              <w:t xml:space="preserve">12</w:t>
            </w:r>
          </w:hyperlink>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147n2zr">
            <w:r w:rsidDel="00000000" w:rsidR="00000000" w:rsidRPr="00000000">
              <w:rPr>
                <w:b w:val="1"/>
                <w:color w:val="000000"/>
                <w:sz w:val="24"/>
                <w:szCs w:val="24"/>
                <w:rtl w:val="0"/>
              </w:rPr>
              <w:t xml:space="preserve">Annex 1: Work Plan</w:t>
              <w:tab/>
              <w:t xml:space="preserve">12</w:t>
            </w:r>
          </w:hyperlink>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3o7alnk">
            <w:r w:rsidDel="00000000" w:rsidR="00000000" w:rsidRPr="00000000">
              <w:rPr>
                <w:b w:val="1"/>
                <w:color w:val="000000"/>
                <w:sz w:val="24"/>
                <w:szCs w:val="24"/>
                <w:rtl w:val="0"/>
              </w:rPr>
              <w:t xml:space="preserve">Annex 2: Budget</w:t>
              <w:tab/>
              <w:t xml:space="preserve">12</w:t>
            </w:r>
          </w:hyperlink>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23ckvvd">
            <w:r w:rsidDel="00000000" w:rsidR="00000000" w:rsidRPr="00000000">
              <w:rPr>
                <w:b w:val="1"/>
                <w:color w:val="000000"/>
                <w:sz w:val="24"/>
                <w:szCs w:val="24"/>
                <w:rtl w:val="0"/>
              </w:rPr>
              <w:t xml:space="preserve">Annex 3: Data Collection Tool(s)</w:t>
              <w:tab/>
              <w:t xml:space="preserve">12</w:t>
            </w:r>
          </w:hyperlink>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right" w:pos="9350"/>
            </w:tabs>
            <w:spacing w:after="0" w:before="120" w:line="192" w:lineRule="auto"/>
            <w:ind w:left="220" w:firstLine="0"/>
            <w:rPr>
              <w:color w:val="000000"/>
              <w:sz w:val="24"/>
              <w:szCs w:val="24"/>
            </w:rPr>
          </w:pPr>
          <w:hyperlink w:anchor="_ihv636">
            <w:r w:rsidDel="00000000" w:rsidR="00000000" w:rsidRPr="00000000">
              <w:rPr>
                <w:b w:val="1"/>
                <w:color w:val="000000"/>
                <w:sz w:val="24"/>
                <w:szCs w:val="24"/>
                <w:rtl w:val="0"/>
              </w:rPr>
              <w:t xml:space="preserve">Annex  4: References</w:t>
              <w:tab/>
              <w:t xml:space="preserve">12</w:t>
            </w:r>
          </w:hyperlink>
          <w:r w:rsidDel="00000000" w:rsidR="00000000" w:rsidRPr="00000000">
            <w:rPr>
              <w:rtl w:val="0"/>
            </w:rPr>
          </w:r>
        </w:p>
        <w:p w:rsidR="00000000" w:rsidDel="00000000" w:rsidP="00000000" w:rsidRDefault="00000000" w:rsidRPr="00000000" w14:paraId="00000059">
          <w:pPr>
            <w:spacing w:line="192" w:lineRule="auto"/>
            <w:rPr>
              <w:b w:val="1"/>
              <w:u w:val="single"/>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A">
      <w:pPr>
        <w:spacing w:line="259" w:lineRule="auto"/>
        <w:jc w:val="left"/>
        <w:rPr>
          <w:b w:val="1"/>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5B">
      <w:pPr>
        <w:pStyle w:val="Heading1"/>
        <w:jc w:val="left"/>
        <w:rPr/>
      </w:pPr>
      <w:r w:rsidDel="00000000" w:rsidR="00000000" w:rsidRPr="00000000">
        <w:rPr>
          <w:rtl w:val="0"/>
        </w:rPr>
        <w:t xml:space="preserve">LIST OF ABBREVIATIONS AND ACRONYMS</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sz w:val="24"/>
          <w:szCs w:val="24"/>
        </w:rPr>
      </w:pPr>
      <w:r w:rsidDel="00000000" w:rsidR="00000000" w:rsidRPr="00000000">
        <w:rPr>
          <w:b w:val="1"/>
          <w:sz w:val="24"/>
          <w:szCs w:val="24"/>
          <w:rtl w:val="0"/>
        </w:rPr>
        <w:t xml:space="preserve">AIDS</w:t>
        <w:tab/>
        <w:tab/>
        <w:tab/>
        <w:tab/>
      </w:r>
      <w:r w:rsidDel="00000000" w:rsidR="00000000" w:rsidRPr="00000000">
        <w:rPr>
          <w:sz w:val="24"/>
          <w:szCs w:val="24"/>
          <w:rtl w:val="0"/>
        </w:rPr>
        <w:t xml:space="preserve">Acquired Immunodeficiency Syndrome</w:t>
      </w:r>
    </w:p>
    <w:p w:rsidR="00000000" w:rsidDel="00000000" w:rsidP="00000000" w:rsidRDefault="00000000" w:rsidRPr="00000000" w14:paraId="0000005E">
      <w:pPr>
        <w:spacing w:line="276" w:lineRule="auto"/>
        <w:rPr>
          <w:sz w:val="24"/>
          <w:szCs w:val="24"/>
        </w:rPr>
      </w:pPr>
      <w:r w:rsidDel="00000000" w:rsidR="00000000" w:rsidRPr="00000000">
        <w:rPr>
          <w:b w:val="1"/>
          <w:sz w:val="24"/>
          <w:szCs w:val="24"/>
          <w:rtl w:val="0"/>
        </w:rPr>
        <w:t xml:space="preserve">CRFA</w:t>
        <w:tab/>
        <w:tab/>
        <w:tab/>
        <w:tab/>
      </w:r>
      <w:r w:rsidDel="00000000" w:rsidR="00000000" w:rsidRPr="00000000">
        <w:rPr>
          <w:sz w:val="24"/>
          <w:szCs w:val="24"/>
          <w:rtl w:val="0"/>
        </w:rPr>
        <w:t xml:space="preserve">Common Risk Factor Approach </w:t>
      </w:r>
    </w:p>
    <w:p w:rsidR="00000000" w:rsidDel="00000000" w:rsidP="00000000" w:rsidRDefault="00000000" w:rsidRPr="00000000" w14:paraId="0000005F">
      <w:pPr>
        <w:spacing w:line="276" w:lineRule="auto"/>
        <w:rPr>
          <w:sz w:val="24"/>
          <w:szCs w:val="24"/>
        </w:rPr>
      </w:pPr>
      <w:r w:rsidDel="00000000" w:rsidR="00000000" w:rsidRPr="00000000">
        <w:rPr>
          <w:b w:val="1"/>
          <w:sz w:val="24"/>
          <w:szCs w:val="24"/>
          <w:rtl w:val="0"/>
        </w:rPr>
        <w:t xml:space="preserve">FDI</w:t>
        <w:tab/>
      </w:r>
      <w:r w:rsidDel="00000000" w:rsidR="00000000" w:rsidRPr="00000000">
        <w:rPr>
          <w:sz w:val="24"/>
          <w:szCs w:val="24"/>
          <w:rtl w:val="0"/>
        </w:rPr>
        <w:tab/>
        <w:tab/>
        <w:tab/>
        <w:t xml:space="preserve">World Dental Federation</w:t>
      </w:r>
    </w:p>
    <w:p w:rsidR="00000000" w:rsidDel="00000000" w:rsidP="00000000" w:rsidRDefault="00000000" w:rsidRPr="00000000" w14:paraId="00000060">
      <w:pPr>
        <w:rPr>
          <w:sz w:val="24"/>
          <w:szCs w:val="24"/>
        </w:rPr>
      </w:pPr>
      <w:r w:rsidDel="00000000" w:rsidR="00000000" w:rsidRPr="00000000">
        <w:rPr>
          <w:b w:val="1"/>
          <w:sz w:val="24"/>
          <w:szCs w:val="24"/>
          <w:rtl w:val="0"/>
        </w:rPr>
        <w:t xml:space="preserve">HIV</w:t>
        <w:tab/>
        <w:tab/>
        <w:tab/>
        <w:tab/>
      </w:r>
      <w:r w:rsidDel="00000000" w:rsidR="00000000" w:rsidRPr="00000000">
        <w:rPr>
          <w:sz w:val="24"/>
          <w:szCs w:val="24"/>
          <w:rtl w:val="0"/>
        </w:rPr>
        <w:t xml:space="preserve">Human Immune Deficiency Virus</w:t>
      </w:r>
    </w:p>
    <w:p w:rsidR="00000000" w:rsidDel="00000000" w:rsidP="00000000" w:rsidRDefault="00000000" w:rsidRPr="00000000" w14:paraId="00000061">
      <w:pPr>
        <w:spacing w:line="276" w:lineRule="auto"/>
        <w:rPr>
          <w:sz w:val="24"/>
          <w:szCs w:val="24"/>
        </w:rPr>
      </w:pPr>
      <w:r w:rsidDel="00000000" w:rsidR="00000000" w:rsidRPr="00000000">
        <w:rPr>
          <w:b w:val="1"/>
          <w:sz w:val="24"/>
          <w:szCs w:val="24"/>
          <w:rtl w:val="0"/>
        </w:rPr>
        <w:t xml:space="preserve">IADR</w:t>
      </w:r>
      <w:r w:rsidDel="00000000" w:rsidR="00000000" w:rsidRPr="00000000">
        <w:rPr>
          <w:sz w:val="24"/>
          <w:szCs w:val="24"/>
          <w:rtl w:val="0"/>
        </w:rPr>
        <w:tab/>
        <w:tab/>
        <w:tab/>
        <w:tab/>
        <w:t xml:space="preserve">International Association of Dental Research </w:t>
      </w:r>
    </w:p>
    <w:p w:rsidR="00000000" w:rsidDel="00000000" w:rsidP="00000000" w:rsidRDefault="00000000" w:rsidRPr="00000000" w14:paraId="00000062">
      <w:pPr>
        <w:spacing w:line="276" w:lineRule="auto"/>
        <w:rPr>
          <w:sz w:val="24"/>
          <w:szCs w:val="24"/>
        </w:rPr>
      </w:pPr>
      <w:r w:rsidDel="00000000" w:rsidR="00000000" w:rsidRPr="00000000">
        <w:rPr>
          <w:b w:val="1"/>
          <w:sz w:val="24"/>
          <w:szCs w:val="24"/>
          <w:rtl w:val="0"/>
        </w:rPr>
        <w:t xml:space="preserve">MDG</w:t>
        <w:tab/>
        <w:tab/>
        <w:tab/>
        <w:tab/>
      </w:r>
      <w:r w:rsidDel="00000000" w:rsidR="00000000" w:rsidRPr="00000000">
        <w:rPr>
          <w:sz w:val="24"/>
          <w:szCs w:val="24"/>
          <w:rtl w:val="0"/>
        </w:rPr>
        <w:t xml:space="preserve">Millennium Development Goals</w:t>
      </w:r>
    </w:p>
    <w:p w:rsidR="00000000" w:rsidDel="00000000" w:rsidP="00000000" w:rsidRDefault="00000000" w:rsidRPr="00000000" w14:paraId="00000063">
      <w:pPr>
        <w:spacing w:line="276" w:lineRule="auto"/>
        <w:rPr>
          <w:sz w:val="24"/>
          <w:szCs w:val="24"/>
        </w:rPr>
      </w:pPr>
      <w:r w:rsidDel="00000000" w:rsidR="00000000" w:rsidRPr="00000000">
        <w:rPr>
          <w:b w:val="1"/>
          <w:sz w:val="24"/>
          <w:szCs w:val="24"/>
          <w:rtl w:val="0"/>
        </w:rPr>
        <w:t xml:space="preserve">NCD</w:t>
        <w:tab/>
      </w:r>
      <w:r w:rsidDel="00000000" w:rsidR="00000000" w:rsidRPr="00000000">
        <w:rPr>
          <w:sz w:val="24"/>
          <w:szCs w:val="24"/>
          <w:rtl w:val="0"/>
        </w:rPr>
        <w:tab/>
        <w:tab/>
        <w:tab/>
        <w:t xml:space="preserve">Non Communicable Disease</w:t>
      </w:r>
    </w:p>
    <w:p w:rsidR="00000000" w:rsidDel="00000000" w:rsidP="00000000" w:rsidRDefault="00000000" w:rsidRPr="00000000" w14:paraId="00000064">
      <w:pPr>
        <w:spacing w:line="276" w:lineRule="auto"/>
        <w:rPr>
          <w:sz w:val="24"/>
          <w:szCs w:val="24"/>
        </w:rPr>
      </w:pPr>
      <w:r w:rsidDel="00000000" w:rsidR="00000000" w:rsidRPr="00000000">
        <w:rPr>
          <w:b w:val="1"/>
          <w:sz w:val="24"/>
          <w:szCs w:val="24"/>
          <w:rtl w:val="0"/>
        </w:rPr>
        <w:t xml:space="preserve">NPOH</w:t>
        <w:tab/>
      </w:r>
      <w:r w:rsidDel="00000000" w:rsidR="00000000" w:rsidRPr="00000000">
        <w:rPr>
          <w:sz w:val="24"/>
          <w:szCs w:val="24"/>
          <w:rtl w:val="0"/>
        </w:rPr>
        <w:tab/>
        <w:tab/>
        <w:tab/>
        <w:t xml:space="preserve">National Policy for Oral Health </w:t>
      </w:r>
    </w:p>
    <w:p w:rsidR="00000000" w:rsidDel="00000000" w:rsidP="00000000" w:rsidRDefault="00000000" w:rsidRPr="00000000" w14:paraId="00000065">
      <w:pPr>
        <w:spacing w:line="276" w:lineRule="auto"/>
        <w:rPr>
          <w:sz w:val="24"/>
          <w:szCs w:val="24"/>
        </w:rPr>
      </w:pPr>
      <w:r w:rsidDel="00000000" w:rsidR="00000000" w:rsidRPr="00000000">
        <w:rPr>
          <w:b w:val="1"/>
          <w:sz w:val="24"/>
          <w:szCs w:val="24"/>
          <w:rtl w:val="0"/>
        </w:rPr>
        <w:t xml:space="preserve">PHC</w:t>
        <w:tab/>
        <w:tab/>
        <w:tab/>
        <w:tab/>
      </w:r>
      <w:r w:rsidDel="00000000" w:rsidR="00000000" w:rsidRPr="00000000">
        <w:rPr>
          <w:sz w:val="24"/>
          <w:szCs w:val="24"/>
          <w:rtl w:val="0"/>
        </w:rPr>
        <w:t xml:space="preserve">Primary Health Care</w:t>
      </w:r>
    </w:p>
    <w:p w:rsidR="00000000" w:rsidDel="00000000" w:rsidP="00000000" w:rsidRDefault="00000000" w:rsidRPr="00000000" w14:paraId="00000066">
      <w:pPr>
        <w:rPr>
          <w:sz w:val="24"/>
          <w:szCs w:val="24"/>
        </w:rPr>
      </w:pPr>
      <w:r w:rsidDel="00000000" w:rsidR="00000000" w:rsidRPr="00000000">
        <w:rPr>
          <w:b w:val="1"/>
          <w:sz w:val="24"/>
          <w:szCs w:val="24"/>
          <w:rtl w:val="0"/>
        </w:rPr>
        <w:t xml:space="preserve">SDG</w:t>
        <w:tab/>
        <w:tab/>
        <w:tab/>
        <w:tab/>
      </w:r>
      <w:r w:rsidDel="00000000" w:rsidR="00000000" w:rsidRPr="00000000">
        <w:rPr>
          <w:sz w:val="24"/>
          <w:szCs w:val="24"/>
          <w:rtl w:val="0"/>
        </w:rPr>
        <w:t xml:space="preserve">Sustainable Development Goals</w:t>
      </w:r>
    </w:p>
    <w:p w:rsidR="00000000" w:rsidDel="00000000" w:rsidP="00000000" w:rsidRDefault="00000000" w:rsidRPr="00000000" w14:paraId="00000067">
      <w:pPr>
        <w:rPr>
          <w:sz w:val="24"/>
          <w:szCs w:val="24"/>
        </w:rPr>
      </w:pPr>
      <w:r w:rsidDel="00000000" w:rsidR="00000000" w:rsidRPr="00000000">
        <w:rPr>
          <w:b w:val="1"/>
          <w:sz w:val="24"/>
          <w:szCs w:val="24"/>
          <w:rtl w:val="0"/>
        </w:rPr>
        <w:t xml:space="preserve">UN</w:t>
        <w:tab/>
        <w:tab/>
        <w:tab/>
        <w:tab/>
      </w:r>
      <w:r w:rsidDel="00000000" w:rsidR="00000000" w:rsidRPr="00000000">
        <w:rPr>
          <w:sz w:val="24"/>
          <w:szCs w:val="24"/>
          <w:rtl w:val="0"/>
        </w:rPr>
        <w:t xml:space="preserve">United Nations</w:t>
      </w:r>
    </w:p>
    <w:p w:rsidR="00000000" w:rsidDel="00000000" w:rsidP="00000000" w:rsidRDefault="00000000" w:rsidRPr="00000000" w14:paraId="00000068">
      <w:pPr>
        <w:spacing w:line="276" w:lineRule="auto"/>
        <w:rPr>
          <w:sz w:val="24"/>
          <w:szCs w:val="24"/>
        </w:rPr>
      </w:pPr>
      <w:r w:rsidDel="00000000" w:rsidR="00000000" w:rsidRPr="00000000">
        <w:rPr>
          <w:b w:val="1"/>
          <w:sz w:val="24"/>
          <w:szCs w:val="24"/>
          <w:rtl w:val="0"/>
        </w:rPr>
        <w:t xml:space="preserve">WHA</w:t>
        <w:tab/>
        <w:tab/>
        <w:tab/>
        <w:tab/>
      </w:r>
      <w:r w:rsidDel="00000000" w:rsidR="00000000" w:rsidRPr="00000000">
        <w:rPr>
          <w:sz w:val="24"/>
          <w:szCs w:val="24"/>
          <w:rtl w:val="0"/>
        </w:rPr>
        <w:t xml:space="preserve">World Health Association</w:t>
      </w:r>
    </w:p>
    <w:p w:rsidR="00000000" w:rsidDel="00000000" w:rsidP="00000000" w:rsidRDefault="00000000" w:rsidRPr="00000000" w14:paraId="00000069">
      <w:pPr>
        <w:rPr>
          <w:sz w:val="24"/>
          <w:szCs w:val="24"/>
        </w:rPr>
      </w:pPr>
      <w:r w:rsidDel="00000000" w:rsidR="00000000" w:rsidRPr="00000000">
        <w:rPr>
          <w:b w:val="1"/>
          <w:sz w:val="24"/>
          <w:szCs w:val="24"/>
          <w:rtl w:val="0"/>
        </w:rPr>
        <w:t xml:space="preserve">WHO</w:t>
        <w:tab/>
        <w:tab/>
        <w:tab/>
        <w:tab/>
      </w:r>
      <w:r w:rsidDel="00000000" w:rsidR="00000000" w:rsidRPr="00000000">
        <w:rPr>
          <w:sz w:val="24"/>
          <w:szCs w:val="24"/>
          <w:rtl w:val="0"/>
        </w:rPr>
        <w:t xml:space="preserve">World Health Organization</w:t>
      </w:r>
    </w:p>
    <w:p w:rsidR="00000000" w:rsidDel="00000000" w:rsidP="00000000" w:rsidRDefault="00000000" w:rsidRPr="00000000" w14:paraId="0000006A">
      <w:pPr>
        <w:rPr>
          <w:sz w:val="24"/>
          <w:szCs w:val="24"/>
        </w:rPr>
      </w:pPr>
      <w:r w:rsidDel="00000000" w:rsidR="00000000" w:rsidRPr="00000000">
        <w:rPr>
          <w:rtl w:val="0"/>
        </w:rPr>
      </w:r>
    </w:p>
    <w:p w:rsidR="00000000" w:rsidDel="00000000" w:rsidP="00000000" w:rsidRDefault="00000000" w:rsidRPr="00000000" w14:paraId="0000006B">
      <w:pPr>
        <w:pStyle w:val="Heading1"/>
        <w:jc w:val="left"/>
        <w:rPr/>
      </w:pPr>
      <w:bookmarkStart w:colFirst="0" w:colLast="0" w:name="_32hioqz" w:id="0"/>
      <w:bookmarkEnd w:id="0"/>
      <w:r w:rsidDel="00000000" w:rsidR="00000000" w:rsidRPr="00000000">
        <w:rPr>
          <w:rtl w:val="0"/>
        </w:rPr>
        <w:t xml:space="preserve">LIST OF TABLES</w:t>
      </w:r>
      <w:r w:rsidDel="00000000" w:rsidR="00000000" w:rsidRPr="00000000">
        <w:br w:type="page"/>
      </w:r>
      <w:r w:rsidDel="00000000" w:rsidR="00000000" w:rsidRPr="00000000">
        <w:rPr>
          <w:rtl w:val="0"/>
        </w:rPr>
      </w:r>
    </w:p>
    <w:p w:rsidR="00000000" w:rsidDel="00000000" w:rsidP="00000000" w:rsidRDefault="00000000" w:rsidRPr="00000000" w14:paraId="0000006C">
      <w:pPr>
        <w:pStyle w:val="Heading1"/>
        <w:spacing w:line="360" w:lineRule="auto"/>
        <w:rPr>
          <w:sz w:val="24"/>
          <w:szCs w:val="24"/>
        </w:rPr>
      </w:pPr>
      <w:r w:rsidDel="00000000" w:rsidR="00000000" w:rsidRPr="00000000">
        <w:rPr>
          <w:sz w:val="24"/>
          <w:szCs w:val="24"/>
          <w:rtl w:val="0"/>
        </w:rPr>
        <w:t xml:space="preserve">SECTION ONE: INTRODUCTION</w:t>
      </w:r>
    </w:p>
    <w:p w:rsidR="00000000" w:rsidDel="00000000" w:rsidP="00000000" w:rsidRDefault="00000000" w:rsidRPr="00000000" w14:paraId="0000006D">
      <w:pPr>
        <w:pStyle w:val="Heading2"/>
        <w:spacing w:line="360" w:lineRule="auto"/>
        <w:rPr>
          <w:sz w:val="24"/>
          <w:szCs w:val="24"/>
          <w:u w:val="single"/>
        </w:rPr>
      </w:pPr>
      <w:r w:rsidDel="00000000" w:rsidR="00000000" w:rsidRPr="00000000">
        <w:rPr>
          <w:rtl w:val="0"/>
        </w:rPr>
        <w:t xml:space="preserve">1.1 </w:t>
      </w:r>
      <w:r w:rsidDel="00000000" w:rsidR="00000000" w:rsidRPr="00000000">
        <w:rPr>
          <w:sz w:val="24"/>
          <w:szCs w:val="24"/>
          <w:rtl w:val="0"/>
        </w:rPr>
        <w:t xml:space="preserve">Background</w:t>
      </w:r>
      <w:r w:rsidDel="00000000" w:rsidR="00000000" w:rsidRPr="00000000">
        <w:rPr>
          <w:rtl w:val="0"/>
        </w:rPr>
      </w:r>
    </w:p>
    <w:p w:rsidR="00000000" w:rsidDel="00000000" w:rsidP="00000000" w:rsidRDefault="00000000" w:rsidRPr="00000000" w14:paraId="0000006E">
      <w:pPr>
        <w:pStyle w:val="Heading3"/>
        <w:spacing w:line="360" w:lineRule="auto"/>
        <w:rPr/>
      </w:pPr>
      <w:bookmarkStart w:colFirst="0" w:colLast="0" w:name="_1hmsyys" w:id="1"/>
      <w:bookmarkEnd w:id="1"/>
      <w:r w:rsidDel="00000000" w:rsidR="00000000" w:rsidRPr="00000000">
        <w:rPr>
          <w:rtl w:val="0"/>
        </w:rPr>
        <w:t xml:space="preserve">1.1.1 Global Political Priority and Health:</w:t>
      </w:r>
    </w:p>
    <w:p w:rsidR="00000000" w:rsidDel="00000000" w:rsidP="00000000" w:rsidRDefault="00000000" w:rsidRPr="00000000" w14:paraId="0000006F">
      <w:pPr>
        <w:spacing w:line="360" w:lineRule="auto"/>
        <w:rPr>
          <w:sz w:val="24"/>
          <w:szCs w:val="24"/>
        </w:rPr>
      </w:pPr>
      <w:r w:rsidDel="00000000" w:rsidR="00000000" w:rsidRPr="00000000">
        <w:rPr>
          <w:sz w:val="24"/>
          <w:szCs w:val="24"/>
          <w:rtl w:val="0"/>
        </w:rPr>
        <w:t xml:space="preserve">Global political priority is “the degree to which international and national political leaders actively give attention to an issue, and back up that attention with the provision of financial, technical and human resources that are commensurate with the severity of the issue” (Shiffman and Smith 2007). The determinants of political priority of a health initiative lie within the nature of the initiative itself, with the ideas, characteristics, participants and context of the issue all contributing to the attention and support given to the initiative.  Whilst global political priority is not the only factor that determines the success of an initiative, it does contribute to success (Shiffman &amp; Smith, 2007a).</w:t>
      </w:r>
    </w:p>
    <w:p w:rsidR="00000000" w:rsidDel="00000000" w:rsidP="00000000" w:rsidRDefault="00000000" w:rsidRPr="00000000" w14:paraId="00000070">
      <w:pPr>
        <w:spacing w:line="360" w:lineRule="auto"/>
        <w:rPr>
          <w:sz w:val="24"/>
          <w:szCs w:val="24"/>
        </w:rPr>
      </w:pPr>
      <w:r w:rsidDel="00000000" w:rsidR="00000000" w:rsidRPr="00000000">
        <w:rPr>
          <w:sz w:val="24"/>
          <w:szCs w:val="24"/>
          <w:rtl w:val="0"/>
        </w:rPr>
        <w:t xml:space="preserve">The Sustainable Development Goals developed by The United Nations (UN) 2030 agenda for political development identifies health as an important goal through SDG 3: Ensure healthy lives and promote well-being for all at all ages. The targets of this agenda include maternal and child health, non-communicable diseases, access to healthcare, drug and substance use and vaccine development and implementation. These aspects of healthcare require political prioritisation to realise the common goal of health and wellbeing. The initial step of policy development on health issues is agenda setting . This determines the attention given to a health issue in terms of support, funding and goal setting for implementation.</w:t>
      </w:r>
    </w:p>
    <w:p w:rsidR="00000000" w:rsidDel="00000000" w:rsidP="00000000" w:rsidRDefault="00000000" w:rsidRPr="00000000" w14:paraId="00000071">
      <w:pPr>
        <w:spacing w:line="360" w:lineRule="auto"/>
        <w:rPr>
          <w:sz w:val="24"/>
          <w:szCs w:val="24"/>
        </w:rPr>
      </w:pPr>
      <w:r w:rsidDel="00000000" w:rsidR="00000000" w:rsidRPr="00000000">
        <w:rPr>
          <w:sz w:val="24"/>
          <w:szCs w:val="24"/>
          <w:rtl w:val="0"/>
        </w:rPr>
        <w:t xml:space="preserve">Diseases that have been politically prioritised have seen progress in the prevention, and management. The HIV/AIDS epidemic is a great example of the role politics plays in the burden of disease.  In 2000, at the UN Security Council, and the UN General Assembly in 2001, Acquired ImmunoDeficiency Syndrome (AIDS) was confirmed as a political issue requiring global action </w:t>
      </w:r>
      <w:r w:rsidDel="00000000" w:rsidR="00000000" w:rsidRPr="00000000">
        <w:rPr>
          <w:color w:val="000000"/>
          <w:sz w:val="24"/>
          <w:szCs w:val="24"/>
          <w:rtl w:val="0"/>
        </w:rPr>
        <w:t xml:space="preserve">(UNAIDS, 2002)</w:t>
      </w:r>
      <w:r w:rsidDel="00000000" w:rsidR="00000000" w:rsidRPr="00000000">
        <w:rPr>
          <w:sz w:val="24"/>
          <w:szCs w:val="24"/>
          <w:rtl w:val="0"/>
        </w:rPr>
        <w:t xml:space="preserve">. Member states adopted the declaration of commitment on the fight against HIV/AIDS, funding set aside by the Global Fund to fight AIDS, TB and Malaria.  In addition, spending on HIV/AIDS in low and middle income countries increased (Haakenstad et al., 2019) . These political actions played a part in the progress of containing the AIDS epidemic, with access to treatment and antiretroviral therapy increasing, as well as a decrease in the number of new infections, according to the UNAIDS (2021)</w:t>
      </w:r>
    </w:p>
    <w:p w:rsidR="00000000" w:rsidDel="00000000" w:rsidP="00000000" w:rsidRDefault="00000000" w:rsidRPr="00000000" w14:paraId="00000072">
      <w:pPr>
        <w:spacing w:line="360" w:lineRule="auto"/>
        <w:rPr>
          <w:sz w:val="24"/>
          <w:szCs w:val="24"/>
        </w:rPr>
      </w:pPr>
      <w:r w:rsidDel="00000000" w:rsidR="00000000" w:rsidRPr="00000000">
        <w:rPr>
          <w:sz w:val="24"/>
          <w:szCs w:val="24"/>
          <w:rtl w:val="0"/>
        </w:rPr>
        <w:t xml:space="preserve">In contrast, issues not politically prioritised have seen minimal progress. An example is global surgery. Even though surgical conditions account for 11% of global burden of disease there is a lack of prioritisation of surgical disease in global health. The provision of basic surgical care would avert 1.5 million deaths per year with essential surgical interventions ranking as the most cost effective health interventions (Mock et al., 2015). Surgery does not receive priority on the global health agenda as compared to communicable diseases (Shawar et al., 2015), with limited progress in the provision of basic surgical care (Shawar et al., 2015) and the lack of a global fund for surgery (Farmer &amp; Kim, 2008). </w:t>
      </w:r>
    </w:p>
    <w:p w:rsidR="00000000" w:rsidDel="00000000" w:rsidP="00000000" w:rsidRDefault="00000000" w:rsidRPr="00000000" w14:paraId="00000073">
      <w:pPr>
        <w:spacing w:line="360" w:lineRule="auto"/>
        <w:rPr>
          <w:sz w:val="24"/>
          <w:szCs w:val="24"/>
          <w:shd w:fill="93c47d" w:val="clear"/>
        </w:rPr>
      </w:pPr>
      <w:r w:rsidDel="00000000" w:rsidR="00000000" w:rsidRPr="00000000">
        <w:rPr>
          <w:sz w:val="24"/>
          <w:szCs w:val="24"/>
          <w:rtl w:val="0"/>
        </w:rPr>
        <w:t xml:space="preserve">The context of political prioritisation of health in Africa is seen in that of the 17 objectives of the African Union, only one is dedicated to health (African Union, 2022). This has played a part in the insufficient allocation of funds to the health sector by member states. Consequently, this increases Africa’s burden of disease with a high morbidity and mortality due to communicable diseases and inadequate access of necessary health care by the population. This gap was exposed with the emergence of the COVID-19 pandemic, which saw an inadequate response by African nations to contain spread, provide supportive care, and gain and distribute vaccines (OECD Policy Responses to Coronavirus)</w:t>
      </w:r>
      <w:r w:rsidDel="00000000" w:rsidR="00000000" w:rsidRPr="00000000">
        <w:rPr>
          <w:rtl w:val="0"/>
        </w:rPr>
      </w:r>
    </w:p>
    <w:p w:rsidR="00000000" w:rsidDel="00000000" w:rsidP="00000000" w:rsidRDefault="00000000" w:rsidRPr="00000000" w14:paraId="00000074">
      <w:pPr>
        <w:spacing w:line="360" w:lineRule="auto"/>
        <w:rPr>
          <w:b w:val="1"/>
          <w:sz w:val="24"/>
          <w:szCs w:val="24"/>
          <w:u w:val="single"/>
        </w:rPr>
      </w:pPr>
      <w:r w:rsidDel="00000000" w:rsidR="00000000" w:rsidRPr="00000000">
        <w:rPr>
          <w:rtl w:val="0"/>
        </w:rPr>
      </w:r>
    </w:p>
    <w:p w:rsidR="00000000" w:rsidDel="00000000" w:rsidP="00000000" w:rsidRDefault="00000000" w:rsidRPr="00000000" w14:paraId="00000075">
      <w:pPr>
        <w:pStyle w:val="Heading3"/>
        <w:rPr/>
      </w:pPr>
      <w:bookmarkStart w:colFirst="0" w:colLast="0" w:name="_41mghml" w:id="2"/>
      <w:bookmarkEnd w:id="2"/>
      <w:r w:rsidDel="00000000" w:rsidR="00000000" w:rsidRPr="00000000">
        <w:rPr>
          <w:rtl w:val="0"/>
        </w:rPr>
        <w:t xml:space="preserve">1.1.2 Global Oral Health:</w:t>
      </w:r>
    </w:p>
    <w:p w:rsidR="00000000" w:rsidDel="00000000" w:rsidP="00000000" w:rsidRDefault="00000000" w:rsidRPr="00000000" w14:paraId="00000076">
      <w:pPr>
        <w:spacing w:line="360" w:lineRule="auto"/>
        <w:rPr>
          <w:sz w:val="24"/>
          <w:szCs w:val="24"/>
        </w:rPr>
      </w:pPr>
      <w:r w:rsidDel="00000000" w:rsidR="00000000" w:rsidRPr="00000000">
        <w:rPr>
          <w:sz w:val="24"/>
          <w:szCs w:val="24"/>
          <w:rtl w:val="0"/>
        </w:rPr>
        <w:t xml:space="preserve">Oral health is a human right, an integral part of general health and essential for overall wellbeing and quality of life (WHO, 2005). Oral diseases cause pain and suffering, altering the quality of one’s life and are also thought to have an effect on several chronic diseases (Petersen, 2008). Although most oral health conditions are preventable, they are highly prevalent , affecting 3.5Billion people (Bernabe et al., 2020; Marcenes et al., 2013), and pose a global public health challenge (Peres et al., 2019). </w:t>
      </w:r>
    </w:p>
    <w:p w:rsidR="00000000" w:rsidDel="00000000" w:rsidP="00000000" w:rsidRDefault="00000000" w:rsidRPr="00000000" w14:paraId="00000077">
      <w:pPr>
        <w:spacing w:line="360" w:lineRule="auto"/>
        <w:rPr>
          <w:sz w:val="24"/>
          <w:szCs w:val="24"/>
        </w:rPr>
      </w:pPr>
      <w:r w:rsidDel="00000000" w:rsidR="00000000" w:rsidRPr="00000000">
        <w:rPr>
          <w:sz w:val="24"/>
          <w:szCs w:val="24"/>
          <w:rtl w:val="0"/>
        </w:rPr>
        <w:t xml:space="preserve">Apart from the direct impact of oral health conditions on an individual, there is a financial impact related to the disease (Petersen et al.2008), with 4.6% of global health expenses allocated to treat these preventable conditions (Listl et.al., 2015). Since oral health is not usually catered for in health insurance benefit packages, this expense is usually funded by an out of pocket payment, and contributes to financial hardship experienced by the patient </w:t>
      </w:r>
      <w:r w:rsidDel="00000000" w:rsidR="00000000" w:rsidRPr="00000000">
        <w:rPr>
          <w:color w:val="000000"/>
          <w:sz w:val="24"/>
          <w:szCs w:val="24"/>
          <w:rtl w:val="0"/>
        </w:rPr>
        <w:t xml:space="preserve">(Masood et al., 2015)</w:t>
      </w:r>
      <w:r w:rsidDel="00000000" w:rsidR="00000000" w:rsidRPr="00000000">
        <w:rPr>
          <w:rtl w:val="0"/>
        </w:rPr>
      </w:r>
    </w:p>
    <w:p w:rsidR="00000000" w:rsidDel="00000000" w:rsidP="00000000" w:rsidRDefault="00000000" w:rsidRPr="00000000" w14:paraId="00000078">
      <w:pPr>
        <w:spacing w:line="360" w:lineRule="auto"/>
        <w:rPr>
          <w:sz w:val="24"/>
          <w:szCs w:val="24"/>
        </w:rPr>
      </w:pPr>
      <w:r w:rsidDel="00000000" w:rsidR="00000000" w:rsidRPr="00000000">
        <w:rPr>
          <w:sz w:val="24"/>
          <w:szCs w:val="24"/>
          <w:rtl w:val="0"/>
        </w:rPr>
        <w:t xml:space="preserve">Despite the importance of oral health for general health, the high prevalence, the heavy financial burden, this health issue has not garnered enough political attention </w:t>
      </w:r>
      <w:r w:rsidDel="00000000" w:rsidR="00000000" w:rsidRPr="00000000">
        <w:rPr>
          <w:color w:val="000000"/>
          <w:sz w:val="24"/>
          <w:szCs w:val="24"/>
          <w:rtl w:val="0"/>
        </w:rPr>
        <w:t xml:space="preserve">(Benzian et al., 2011)</w:t>
      </w:r>
      <w:r w:rsidDel="00000000" w:rsidR="00000000" w:rsidRPr="00000000">
        <w:rPr>
          <w:sz w:val="24"/>
          <w:szCs w:val="24"/>
          <w:rtl w:val="0"/>
        </w:rPr>
        <w:t xml:space="preserve"> and has not been adequately captured in global policies, strategies and plans </w:t>
      </w:r>
      <w:r w:rsidDel="00000000" w:rsidR="00000000" w:rsidRPr="00000000">
        <w:rPr>
          <w:color w:val="000000"/>
          <w:sz w:val="24"/>
          <w:szCs w:val="24"/>
          <w:rtl w:val="0"/>
        </w:rPr>
        <w:t xml:space="preserve">(Mathur et al., 2015)</w:t>
      </w:r>
      <w:r w:rsidDel="00000000" w:rsidR="00000000" w:rsidRPr="00000000">
        <w:rPr>
          <w:sz w:val="24"/>
          <w:szCs w:val="24"/>
          <w:rtl w:val="0"/>
        </w:rPr>
        <w:t xml:space="preserve">. When there have been global goals and political calls to action to improve oral health, implementation has been poor (Peterson, 2007). A systematic analysis comparing prevalence of oral health conditions in 1990 and 2010 showed that the global burden of oral health conditions increased, while all other conditions decreased in this period (Marcenes et al., 2013). </w:t>
      </w:r>
    </w:p>
    <w:p w:rsidR="00000000" w:rsidDel="00000000" w:rsidP="00000000" w:rsidRDefault="00000000" w:rsidRPr="00000000" w14:paraId="00000079">
      <w:pPr>
        <w:spacing w:line="360" w:lineRule="auto"/>
        <w:rPr>
          <w:b w:val="1"/>
          <w:sz w:val="24"/>
          <w:szCs w:val="24"/>
          <w:u w:val="single"/>
        </w:rPr>
      </w:pPr>
      <w:r w:rsidDel="00000000" w:rsidR="00000000" w:rsidRPr="00000000">
        <w:rPr>
          <w:rtl w:val="0"/>
        </w:rPr>
      </w:r>
    </w:p>
    <w:p w:rsidR="00000000" w:rsidDel="00000000" w:rsidP="00000000" w:rsidRDefault="00000000" w:rsidRPr="00000000" w14:paraId="0000007A">
      <w:pPr>
        <w:pStyle w:val="Heading3"/>
        <w:spacing w:line="360" w:lineRule="auto"/>
        <w:rPr/>
      </w:pPr>
      <w:bookmarkStart w:colFirst="0" w:colLast="0" w:name="_2grqrue" w:id="3"/>
      <w:bookmarkEnd w:id="3"/>
      <w:r w:rsidDel="00000000" w:rsidR="00000000" w:rsidRPr="00000000">
        <w:rPr>
          <w:rtl w:val="0"/>
        </w:rPr>
        <w:t xml:space="preserve">1.1.3 Oral Health In Africa:</w:t>
      </w:r>
    </w:p>
    <w:p w:rsidR="00000000" w:rsidDel="00000000" w:rsidP="00000000" w:rsidRDefault="00000000" w:rsidRPr="00000000" w14:paraId="0000007B">
      <w:pPr>
        <w:spacing w:line="360" w:lineRule="auto"/>
        <w:rPr>
          <w:color w:val="4472c4"/>
          <w:sz w:val="24"/>
          <w:szCs w:val="24"/>
        </w:rPr>
      </w:pPr>
      <w:r w:rsidDel="00000000" w:rsidR="00000000" w:rsidRPr="00000000">
        <w:rPr>
          <w:sz w:val="24"/>
          <w:szCs w:val="24"/>
          <w:rtl w:val="0"/>
        </w:rPr>
        <w:t xml:space="preserve">Africa, which mainly comprises Low and Middle Income Countries has not seen marked progress with oral health </w:t>
      </w:r>
      <w:r w:rsidDel="00000000" w:rsidR="00000000" w:rsidRPr="00000000">
        <w:rPr>
          <w:color w:val="000000"/>
          <w:sz w:val="24"/>
          <w:szCs w:val="24"/>
          <w:rtl w:val="0"/>
        </w:rPr>
        <w:t xml:space="preserve">(Ministry of Health-Kenya, 2022)</w:t>
      </w:r>
      <w:r w:rsidDel="00000000" w:rsidR="00000000" w:rsidRPr="00000000">
        <w:rPr>
          <w:sz w:val="24"/>
          <w:szCs w:val="24"/>
          <w:rtl w:val="0"/>
        </w:rPr>
        <w:t xml:space="preserve">. The burden of oral disease in Africa is high, with over 400 Million people affected (WHO, 2022) and the burden is increasing (Naidoo et al,2001, FDI 2011). </w:t>
      </w:r>
      <w:r w:rsidDel="00000000" w:rsidR="00000000" w:rsidRPr="00000000">
        <w:rPr>
          <w:color w:val="000000"/>
          <w:sz w:val="24"/>
          <w:szCs w:val="24"/>
          <w:rtl w:val="0"/>
        </w:rPr>
        <w:t xml:space="preserve">Africa suffers from a poor undeveloped public health system and access to oral health care is low, with the dentist to patient ratio at 1:150,000 compared to 1:2000 in </w:t>
      </w:r>
      <w:r w:rsidDel="00000000" w:rsidR="00000000" w:rsidRPr="00000000">
        <w:rPr>
          <w:sz w:val="24"/>
          <w:szCs w:val="24"/>
          <w:rtl w:val="0"/>
        </w:rPr>
        <w:t xml:space="preserve">industrialised</w:t>
      </w:r>
      <w:r w:rsidDel="00000000" w:rsidR="00000000" w:rsidRPr="00000000">
        <w:rPr>
          <w:color w:val="000000"/>
          <w:sz w:val="24"/>
          <w:szCs w:val="24"/>
          <w:rtl w:val="0"/>
        </w:rPr>
        <w:t xml:space="preserve"> nations (Tiwarii et al., 2021) The few oral health care workers trained work mostly in urban areas, in the private setting, limiting access to those who live in rural areas, the elderly and  people of low socio-economic status (Abid et al., 2015)These factors lead to 90% of oral diseases remaining untreated (Hosseinpoor et.al., 2015).  </w:t>
      </w:r>
      <w:r w:rsidDel="00000000" w:rsidR="00000000" w:rsidRPr="00000000">
        <w:rPr>
          <w:rtl w:val="0"/>
        </w:rPr>
      </w:r>
    </w:p>
    <w:p w:rsidR="00000000" w:rsidDel="00000000" w:rsidP="00000000" w:rsidRDefault="00000000" w:rsidRPr="00000000" w14:paraId="0000007C">
      <w:pPr>
        <w:spacing w:line="360" w:lineRule="auto"/>
        <w:rPr>
          <w:sz w:val="24"/>
          <w:szCs w:val="24"/>
        </w:rPr>
      </w:pPr>
      <w:r w:rsidDel="00000000" w:rsidR="00000000" w:rsidRPr="00000000">
        <w:rPr>
          <w:sz w:val="24"/>
          <w:szCs w:val="24"/>
          <w:rtl w:val="0"/>
        </w:rPr>
        <w:t xml:space="preserve">In 1998, the World Health Organisation (WHO) regional committee for Africa adopted a 10 year Oral Health Plan for Africa (1999-2008) to improve community oral health (Ndiaye, 2005). A survey conducted in the year 2011 however showed that only 27 countries out of the 47 member states had an oral health strategic plan and only 14 had a dedicated national oral health budget (World Health Organisation Regional Office for Africa, 2016). This demonstrates a low level of prioritisation of oral health in Africa.</w:t>
      </w:r>
    </w:p>
    <w:p w:rsidR="00000000" w:rsidDel="00000000" w:rsidP="00000000" w:rsidRDefault="00000000" w:rsidRPr="00000000" w14:paraId="0000007D">
      <w:pPr>
        <w:spacing w:line="360" w:lineRule="auto"/>
        <w:rPr>
          <w:sz w:val="24"/>
          <w:szCs w:val="24"/>
        </w:rPr>
      </w:pPr>
      <w:r w:rsidDel="00000000" w:rsidR="00000000" w:rsidRPr="00000000">
        <w:rPr>
          <w:sz w:val="24"/>
          <w:szCs w:val="24"/>
          <w:rtl w:val="0"/>
        </w:rPr>
        <w:t xml:space="preserve">Kenya, a lower Middle Income Country, is one of the 47 member states of the WHO Africa Region. According to the first and only National Oral Health Survey conducted in 2015, Kenya has a burden of dental caries of 40% in children, gum disease of 90% and 41% dental fluorosis in children (Ministry of Health-Kenya, 2015). The public sector remains underfunded and underequipped, with no dedicated budget for oral health (Ahluwalia et.al., 2018, Ministry of Health-Kenya, 2022). As of 2018, Kenya had only 1288 dentists, with the distribution of dentists mostly in the urban areas, leaving rural populations underserved (Ministry of Health-Kenya, 2022). Oral healthcare is geared towards curative treatment, which is funded mostly out of pocket, limiting access </w:t>
      </w:r>
      <w:r w:rsidDel="00000000" w:rsidR="00000000" w:rsidRPr="00000000">
        <w:rPr>
          <w:color w:val="000000"/>
          <w:sz w:val="24"/>
          <w:szCs w:val="24"/>
          <w:rtl w:val="0"/>
        </w:rPr>
        <w:t xml:space="preserve">(Ministry of Health-Kenya, 2022)</w:t>
      </w:r>
      <w:r w:rsidDel="00000000" w:rsidR="00000000" w:rsidRPr="00000000">
        <w:rPr>
          <w:sz w:val="24"/>
          <w:szCs w:val="24"/>
          <w:rtl w:val="0"/>
        </w:rPr>
        <w:t xml:space="preserve">. </w:t>
      </w:r>
    </w:p>
    <w:p w:rsidR="00000000" w:rsidDel="00000000" w:rsidP="00000000" w:rsidRDefault="00000000" w:rsidRPr="00000000" w14:paraId="0000007E">
      <w:pPr>
        <w:spacing w:line="360" w:lineRule="auto"/>
        <w:rPr>
          <w:color w:val="000000"/>
          <w:sz w:val="24"/>
          <w:szCs w:val="24"/>
          <w:highlight w:val="white"/>
        </w:rPr>
      </w:pPr>
      <w:r w:rsidDel="00000000" w:rsidR="00000000" w:rsidRPr="00000000">
        <w:rPr>
          <w:sz w:val="24"/>
          <w:szCs w:val="24"/>
          <w:rtl w:val="0"/>
        </w:rPr>
        <w:t xml:space="preserve">South Africa, an upper middle income country is also one of the 47 member states of the WHO Africa Region. </w:t>
      </w:r>
      <w:r w:rsidDel="00000000" w:rsidR="00000000" w:rsidRPr="00000000">
        <w:rPr>
          <w:color w:val="000000"/>
          <w:sz w:val="24"/>
          <w:szCs w:val="24"/>
          <w:highlight w:val="white"/>
          <w:rtl w:val="0"/>
        </w:rPr>
        <w:t xml:space="preserve">The last oral health survey of South Africa was focused on children, and it was conducted between 1999 and 2002. During that period 60.3 % of children under age 6 presented with caries and 80% of that cohort had untreated caries (Van Wyk &amp; Van Wyk, 2004). Access to dental care is limited, with a shortage of dentists (Tiwarii et al., 2021). </w:t>
      </w:r>
      <w:r w:rsidDel="00000000" w:rsidR="00000000" w:rsidRPr="00000000">
        <w:rPr>
          <w:sz w:val="24"/>
          <w:szCs w:val="24"/>
          <w:highlight w:val="white"/>
          <w:rtl w:val="0"/>
        </w:rPr>
        <w:t xml:space="preserve">T</w:t>
      </w:r>
      <w:r w:rsidDel="00000000" w:rsidR="00000000" w:rsidRPr="00000000">
        <w:rPr>
          <w:color w:val="000000"/>
          <w:sz w:val="24"/>
          <w:szCs w:val="24"/>
          <w:highlight w:val="white"/>
          <w:rtl w:val="0"/>
        </w:rPr>
        <w:t xml:space="preserve">here is also an uneven distribution of dentists in the private and public sector, whereby more than 80% of the South African population (about 56 million) relies on public dental service but less than a quarter of dentists in the country work in the public sector (Tiwarii et al., 2021). There is no defined budget for oral health in South Africa (Mahomed &amp; Mthethwa,2022). </w:t>
      </w:r>
    </w:p>
    <w:p w:rsidR="00000000" w:rsidDel="00000000" w:rsidP="00000000" w:rsidRDefault="00000000" w:rsidRPr="00000000" w14:paraId="0000007F">
      <w:pPr>
        <w:spacing w:line="360" w:lineRule="auto"/>
        <w:rPr>
          <w:color w:val="000000"/>
          <w:sz w:val="24"/>
          <w:szCs w:val="24"/>
          <w:highlight w:val="white"/>
        </w:rPr>
      </w:pPr>
      <w:r w:rsidDel="00000000" w:rsidR="00000000" w:rsidRPr="00000000">
        <w:rPr>
          <w:color w:val="000000"/>
          <w:sz w:val="24"/>
          <w:szCs w:val="24"/>
          <w:highlight w:val="white"/>
          <w:rtl w:val="0"/>
        </w:rPr>
        <w:t xml:space="preserve"> </w:t>
      </w:r>
    </w:p>
    <w:p w:rsidR="00000000" w:rsidDel="00000000" w:rsidP="00000000" w:rsidRDefault="00000000" w:rsidRPr="00000000" w14:paraId="00000080">
      <w:pPr>
        <w:pStyle w:val="Heading2"/>
        <w:spacing w:line="360" w:lineRule="auto"/>
        <w:rPr>
          <w:sz w:val="24"/>
          <w:szCs w:val="24"/>
        </w:rPr>
      </w:pPr>
      <w:r w:rsidDel="00000000" w:rsidR="00000000" w:rsidRPr="00000000">
        <w:rPr>
          <w:rtl w:val="0"/>
        </w:rPr>
        <w:t xml:space="preserve">1.2 </w:t>
      </w:r>
      <w:r w:rsidDel="00000000" w:rsidR="00000000" w:rsidRPr="00000000">
        <w:rPr>
          <w:sz w:val="24"/>
          <w:szCs w:val="24"/>
          <w:rtl w:val="0"/>
        </w:rPr>
        <w:t xml:space="preserve">Problem Statement:</w:t>
      </w:r>
    </w:p>
    <w:p w:rsidR="00000000" w:rsidDel="00000000" w:rsidP="00000000" w:rsidRDefault="00000000" w:rsidRPr="00000000" w14:paraId="00000081">
      <w:pPr>
        <w:spacing w:line="360" w:lineRule="auto"/>
        <w:rPr>
          <w:sz w:val="24"/>
          <w:szCs w:val="24"/>
        </w:rPr>
      </w:pPr>
      <w:r w:rsidDel="00000000" w:rsidR="00000000" w:rsidRPr="00000000">
        <w:rPr>
          <w:sz w:val="24"/>
          <w:szCs w:val="24"/>
          <w:rtl w:val="0"/>
        </w:rPr>
        <w:t xml:space="preserve">Oral health issues in Africa pose a significant challenge to the health and wellbeing of the population. Despite this, progress for oral health has been limited, with an increasing burden of disease (FDI, 2011),  limited and inequitable access to dental care </w:t>
      </w:r>
      <w:r w:rsidDel="00000000" w:rsidR="00000000" w:rsidRPr="00000000">
        <w:rPr>
          <w:color w:val="000000"/>
          <w:sz w:val="24"/>
          <w:szCs w:val="24"/>
          <w:rtl w:val="0"/>
        </w:rPr>
        <w:t xml:space="preserve">(World Health Organisation Regional Office for Africa, 2016)</w:t>
      </w:r>
      <w:r w:rsidDel="00000000" w:rsidR="00000000" w:rsidRPr="00000000">
        <w:rPr>
          <w:sz w:val="24"/>
          <w:szCs w:val="24"/>
          <w:rtl w:val="0"/>
        </w:rPr>
        <w:t xml:space="preserve">, and high financial burden due to oral disease. Research has shown that there exists a low global priority for oral health (Benzian et al., 2011). Global political priority has been found to be an important factor in success of global health initiatives (Shiffman &amp; Smith, 2007). It is therefore necessary to describe the level of political prioritisation of oral health in Africa, as well as adequately describe the factors enabling and barriers encountered in the gathering of political support on oral issues in African nations.</w:t>
      </w:r>
    </w:p>
    <w:p w:rsidR="00000000" w:rsidDel="00000000" w:rsidP="00000000" w:rsidRDefault="00000000" w:rsidRPr="00000000" w14:paraId="00000082">
      <w:pPr>
        <w:pStyle w:val="Heading2"/>
        <w:spacing w:line="360" w:lineRule="auto"/>
        <w:rPr>
          <w:sz w:val="24"/>
          <w:szCs w:val="24"/>
        </w:rPr>
      </w:pPr>
      <w:r w:rsidDel="00000000" w:rsidR="00000000" w:rsidRPr="00000000">
        <w:rPr>
          <w:rtl w:val="0"/>
        </w:rPr>
      </w:r>
    </w:p>
    <w:p w:rsidR="00000000" w:rsidDel="00000000" w:rsidP="00000000" w:rsidRDefault="00000000" w:rsidRPr="00000000" w14:paraId="00000083">
      <w:pPr>
        <w:pStyle w:val="Heading2"/>
        <w:spacing w:line="360" w:lineRule="auto"/>
        <w:rPr>
          <w:sz w:val="24"/>
          <w:szCs w:val="24"/>
        </w:rPr>
      </w:pPr>
      <w:r w:rsidDel="00000000" w:rsidR="00000000" w:rsidRPr="00000000">
        <w:rPr>
          <w:sz w:val="24"/>
          <w:szCs w:val="24"/>
          <w:rtl w:val="0"/>
        </w:rPr>
        <w:t xml:space="preserve">1.3 Rationale for the Study:</w:t>
      </w:r>
    </w:p>
    <w:p w:rsidR="00000000" w:rsidDel="00000000" w:rsidP="00000000" w:rsidRDefault="00000000" w:rsidRPr="00000000" w14:paraId="00000084">
      <w:pPr>
        <w:spacing w:line="360" w:lineRule="auto"/>
        <w:rPr>
          <w:sz w:val="24"/>
          <w:szCs w:val="24"/>
        </w:rPr>
      </w:pPr>
      <w:r w:rsidDel="00000000" w:rsidR="00000000" w:rsidRPr="00000000">
        <w:rPr>
          <w:sz w:val="24"/>
          <w:szCs w:val="24"/>
          <w:rtl w:val="0"/>
        </w:rPr>
        <w:t xml:space="preserve">The 2030 deadline for the fulfilment of the SDGs includes the provision of Universal Health Care by member states. Despite oral health not being included as an indicator for progress, the high burden of oral disease poses a challenge to the economic wellbeing as well has health of the nation (Listl et.al. 2015). Political prioritisation is required for the successful implementation of health initiatives (Shiffman and Smith, 2007). This influence on oral health has not been previously investigated in African states, where policies exist but there is poor implementation and follow up on oral health initiatives. </w:t>
      </w:r>
    </w:p>
    <w:p w:rsidR="00000000" w:rsidDel="00000000" w:rsidP="00000000" w:rsidRDefault="00000000" w:rsidRPr="00000000" w14:paraId="00000085">
      <w:pPr>
        <w:spacing w:line="360" w:lineRule="auto"/>
        <w:rPr>
          <w:sz w:val="24"/>
          <w:szCs w:val="24"/>
        </w:rPr>
      </w:pPr>
      <w:r w:rsidDel="00000000" w:rsidR="00000000" w:rsidRPr="00000000">
        <w:rPr>
          <w:sz w:val="24"/>
          <w:szCs w:val="24"/>
          <w:rtl w:val="0"/>
        </w:rPr>
        <w:t xml:space="preserve">Kenya recently launched the second oral health policy in May 2022, and the National Oral Health Strategic plan (2022-2026). This policy reveals gaps in the oral health systems as well as high burden of disease (Ministry of Health-Kenya, 2015) and seeks to facilitate the development of solid oral health care systems integrated to general health. Following the unclear implementation of the first oral health policy, it is important to evaluate the reasons that led to the poor non-implementation and assess the current level of political prioritisation of oral health in Kenya, following the launching of the new policy. In addition, the National Policy for Oral Health in South Africa written in 1990, and revised in 2002 (Department of Health, Western Cape) has seen poor implementation and failure to meet the objectives A qualitative analysis in the level of political support gathered by oral health issues in these African states will provide an explanation for the current state of oral health in Africa, as well as identify the gaps that lead to poor agenda setting, policy making and implementation of oral health initiatives. </w:t>
      </w:r>
    </w:p>
    <w:p w:rsidR="00000000" w:rsidDel="00000000" w:rsidP="00000000" w:rsidRDefault="00000000" w:rsidRPr="00000000" w14:paraId="00000086">
      <w:pPr>
        <w:pStyle w:val="Heading2"/>
        <w:spacing w:line="360" w:lineRule="auto"/>
        <w:rPr>
          <w:sz w:val="24"/>
          <w:szCs w:val="24"/>
        </w:rPr>
      </w:pPr>
      <w:r w:rsidDel="00000000" w:rsidR="00000000" w:rsidRPr="00000000">
        <w:rPr>
          <w:rtl w:val="0"/>
        </w:rPr>
      </w:r>
    </w:p>
    <w:p w:rsidR="00000000" w:rsidDel="00000000" w:rsidP="00000000" w:rsidRDefault="00000000" w:rsidRPr="00000000" w14:paraId="00000087">
      <w:pPr>
        <w:pStyle w:val="Heading2"/>
        <w:spacing w:line="360" w:lineRule="auto"/>
        <w:rPr>
          <w:sz w:val="24"/>
          <w:szCs w:val="24"/>
        </w:rPr>
      </w:pPr>
      <w:r w:rsidDel="00000000" w:rsidR="00000000" w:rsidRPr="00000000">
        <w:rPr>
          <w:sz w:val="24"/>
          <w:szCs w:val="24"/>
          <w:rtl w:val="0"/>
        </w:rPr>
        <w:t xml:space="preserve">1.4 Research Questions:</w:t>
      </w:r>
    </w:p>
    <w:p w:rsidR="00000000" w:rsidDel="00000000" w:rsidP="00000000" w:rsidRDefault="00000000" w:rsidRPr="00000000" w14:paraId="00000088">
      <w:pPr>
        <w:rPr/>
      </w:pPr>
      <w:r w:rsidDel="00000000" w:rsidR="00000000" w:rsidRPr="00000000">
        <w:rPr>
          <w:rtl w:val="0"/>
        </w:rPr>
        <w:t xml:space="preserve">The study is aimed at answering the following questions:</w:t>
      </w:r>
    </w:p>
    <w:p w:rsidR="00000000" w:rsidDel="00000000" w:rsidP="00000000" w:rsidRDefault="00000000" w:rsidRPr="00000000" w14:paraId="0000008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What are the current levels of political prioritisation of oral health in the Republics of Kenya and South Africa?</w:t>
      </w:r>
    </w:p>
    <w:p w:rsidR="00000000" w:rsidDel="00000000" w:rsidP="00000000" w:rsidRDefault="00000000" w:rsidRPr="00000000" w14:paraId="0000008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What are the factors promoting oral health political prioritization in the Republics of Kenya and South Africa?</w:t>
      </w:r>
    </w:p>
    <w:p w:rsidR="00000000" w:rsidDel="00000000" w:rsidP="00000000" w:rsidRDefault="00000000" w:rsidRPr="00000000" w14:paraId="0000008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Century Gothic" w:cs="Century Gothic" w:eastAsia="Century Gothic" w:hAnsi="Century Gothic"/>
          <w:b w:val="0"/>
          <w:i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4"/>
          <w:szCs w:val="24"/>
          <w:u w:val="none"/>
          <w:shd w:fill="auto" w:val="clear"/>
          <w:vertAlign w:val="baseline"/>
          <w:rtl w:val="0"/>
        </w:rPr>
        <w:t xml:space="preserve">What are the barriers to political prioritisation of oral health in  the Republics of Kenya and South Africa?</w:t>
      </w:r>
    </w:p>
    <w:p w:rsidR="00000000" w:rsidDel="00000000" w:rsidP="00000000" w:rsidRDefault="00000000" w:rsidRPr="00000000" w14:paraId="0000008C">
      <w:pPr>
        <w:spacing w:line="360" w:lineRule="auto"/>
        <w:rPr>
          <w:sz w:val="24"/>
          <w:szCs w:val="24"/>
        </w:rPr>
      </w:pPr>
      <w:r w:rsidDel="00000000" w:rsidR="00000000" w:rsidRPr="00000000">
        <w:rPr>
          <w:rtl w:val="0"/>
        </w:rPr>
      </w:r>
    </w:p>
    <w:p w:rsidR="00000000" w:rsidDel="00000000" w:rsidP="00000000" w:rsidRDefault="00000000" w:rsidRPr="00000000" w14:paraId="0000008D">
      <w:pPr>
        <w:spacing w:line="360" w:lineRule="auto"/>
        <w:rPr>
          <w:sz w:val="24"/>
          <w:szCs w:val="24"/>
        </w:rPr>
      </w:pPr>
      <w:r w:rsidDel="00000000" w:rsidR="00000000" w:rsidRPr="00000000">
        <w:rPr>
          <w:rtl w:val="0"/>
        </w:rPr>
      </w:r>
    </w:p>
    <w:p w:rsidR="00000000" w:rsidDel="00000000" w:rsidP="00000000" w:rsidRDefault="00000000" w:rsidRPr="00000000" w14:paraId="0000008E">
      <w:pPr>
        <w:pStyle w:val="Heading2"/>
        <w:spacing w:line="360" w:lineRule="auto"/>
        <w:rPr>
          <w:sz w:val="24"/>
          <w:szCs w:val="24"/>
        </w:rPr>
      </w:pPr>
      <w:r w:rsidDel="00000000" w:rsidR="00000000" w:rsidRPr="00000000">
        <w:rPr>
          <w:sz w:val="24"/>
          <w:szCs w:val="24"/>
          <w:rtl w:val="0"/>
        </w:rPr>
        <w:t xml:space="preserve">1.5 Objectives of the Study</w:t>
      </w:r>
    </w:p>
    <w:p w:rsidR="00000000" w:rsidDel="00000000" w:rsidP="00000000" w:rsidRDefault="00000000" w:rsidRPr="00000000" w14:paraId="0000008F">
      <w:pPr>
        <w:pStyle w:val="Heading3"/>
        <w:spacing w:line="360" w:lineRule="auto"/>
        <w:rPr/>
      </w:pPr>
      <w:r w:rsidDel="00000000" w:rsidR="00000000" w:rsidRPr="00000000">
        <w:rPr>
          <w:rtl w:val="0"/>
        </w:rPr>
        <w:t xml:space="preserve">1.5.1 General Objective</w:t>
      </w:r>
    </w:p>
    <w:p w:rsidR="00000000" w:rsidDel="00000000" w:rsidP="00000000" w:rsidRDefault="00000000" w:rsidRPr="00000000" w14:paraId="00000090">
      <w:pPr>
        <w:spacing w:line="360" w:lineRule="auto"/>
        <w:rPr>
          <w:sz w:val="24"/>
          <w:szCs w:val="24"/>
        </w:rPr>
      </w:pPr>
      <w:r w:rsidDel="00000000" w:rsidR="00000000" w:rsidRPr="00000000">
        <w:rPr>
          <w:sz w:val="24"/>
          <w:szCs w:val="24"/>
          <w:rtl w:val="0"/>
        </w:rPr>
        <w:t xml:space="preserve">The general objective of the study is to compare and assess the level of political prioritisation of oral health in Kenya and South Africa.</w:t>
      </w:r>
    </w:p>
    <w:p w:rsidR="00000000" w:rsidDel="00000000" w:rsidP="00000000" w:rsidRDefault="00000000" w:rsidRPr="00000000" w14:paraId="00000091">
      <w:pPr>
        <w:spacing w:line="360" w:lineRule="auto"/>
        <w:rPr>
          <w:sz w:val="24"/>
          <w:szCs w:val="24"/>
        </w:rPr>
      </w:pPr>
      <w:r w:rsidDel="00000000" w:rsidR="00000000" w:rsidRPr="00000000">
        <w:rPr>
          <w:rtl w:val="0"/>
        </w:rPr>
      </w:r>
    </w:p>
    <w:p w:rsidR="00000000" w:rsidDel="00000000" w:rsidP="00000000" w:rsidRDefault="00000000" w:rsidRPr="00000000" w14:paraId="00000092">
      <w:pPr>
        <w:pStyle w:val="Heading3"/>
        <w:spacing w:line="360" w:lineRule="auto"/>
        <w:rPr/>
      </w:pPr>
      <w:r w:rsidDel="00000000" w:rsidR="00000000" w:rsidRPr="00000000">
        <w:rPr>
          <w:rtl w:val="0"/>
        </w:rPr>
        <w:t xml:space="preserve">1.5.2 Specific Objectives</w:t>
      </w:r>
    </w:p>
    <w:p w:rsidR="00000000" w:rsidDel="00000000" w:rsidP="00000000" w:rsidRDefault="00000000" w:rsidRPr="00000000" w14:paraId="00000093">
      <w:pPr>
        <w:rPr/>
      </w:pPr>
      <w:r w:rsidDel="00000000" w:rsidR="00000000" w:rsidRPr="00000000">
        <w:rPr>
          <w:rtl w:val="0"/>
        </w:rPr>
        <w:t xml:space="preserve">The specific objectives for the study are:</w:t>
      </w:r>
    </w:p>
    <w:p w:rsidR="00000000" w:rsidDel="00000000" w:rsidP="00000000" w:rsidRDefault="00000000" w:rsidRPr="00000000" w14:paraId="0000009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To assess the current levels of political propitiation of oral health in Kenya and South Africa.</w:t>
      </w:r>
    </w:p>
    <w:p w:rsidR="00000000" w:rsidDel="00000000" w:rsidP="00000000" w:rsidRDefault="00000000" w:rsidRPr="00000000" w14:paraId="0000009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To establish the factors enabling political prioritization of oral health in Kenya and South Africa</w:t>
      </w:r>
    </w:p>
    <w:p w:rsidR="00000000" w:rsidDel="00000000" w:rsidP="00000000" w:rsidRDefault="00000000" w:rsidRPr="00000000" w14:paraId="0000009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720" w:right="0" w:hanging="360"/>
        <w:jc w:val="both"/>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To establish the barriers to political prioritization of oral health in Kenya and South Africa</w:t>
      </w:r>
    </w:p>
    <w:p w:rsidR="00000000" w:rsidDel="00000000" w:rsidP="00000000" w:rsidRDefault="00000000" w:rsidRPr="00000000" w14:paraId="00000097">
      <w:pPr>
        <w:spacing w:line="360" w:lineRule="auto"/>
        <w:rPr>
          <w:sz w:val="24"/>
          <w:szCs w:val="24"/>
        </w:rPr>
      </w:pPr>
      <w:r w:rsidDel="00000000" w:rsidR="00000000" w:rsidRPr="00000000">
        <w:rPr>
          <w:rtl w:val="0"/>
        </w:rPr>
      </w:r>
    </w:p>
    <w:p w:rsidR="00000000" w:rsidDel="00000000" w:rsidP="00000000" w:rsidRDefault="00000000" w:rsidRPr="00000000" w14:paraId="00000098">
      <w:pPr>
        <w:pStyle w:val="Heading2"/>
        <w:spacing w:line="360" w:lineRule="auto"/>
        <w:rPr>
          <w:sz w:val="24"/>
          <w:szCs w:val="24"/>
        </w:rPr>
      </w:pPr>
      <w:r w:rsidDel="00000000" w:rsidR="00000000" w:rsidRPr="00000000">
        <w:rPr>
          <w:sz w:val="24"/>
          <w:szCs w:val="24"/>
          <w:rtl w:val="0"/>
        </w:rPr>
        <w:t xml:space="preserve">1.6 Research Hypothesis:</w:t>
      </w:r>
    </w:p>
    <w:p w:rsidR="00000000" w:rsidDel="00000000" w:rsidP="00000000" w:rsidRDefault="00000000" w:rsidRPr="00000000" w14:paraId="00000099">
      <w:pPr>
        <w:rPr/>
      </w:pPr>
      <w:r w:rsidDel="00000000" w:rsidR="00000000" w:rsidRPr="00000000">
        <w:rPr>
          <w:rtl w:val="0"/>
        </w:rPr>
        <w:t xml:space="preserve">The study has three null hypotheses namely:</w:t>
      </w:r>
    </w:p>
    <w:p w:rsidR="00000000" w:rsidDel="00000000" w:rsidP="00000000" w:rsidRDefault="00000000" w:rsidRPr="00000000" w14:paraId="0000009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subscript"/>
          <w:rtl w:val="0"/>
        </w:rPr>
        <w:t xml:space="preserve">0 </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1: There is no political prioritization of oral health in Kenya and South Africa</w:t>
      </w:r>
    </w:p>
    <w:p w:rsidR="00000000" w:rsidDel="00000000" w:rsidP="00000000" w:rsidRDefault="00000000" w:rsidRPr="00000000" w14:paraId="0000009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subscript"/>
          <w:rtl w:val="0"/>
        </w:rPr>
        <w:t xml:space="preserve">0 </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2: There are no facilitators enabling political prioritization of oral health in Kenya and South Africa.</w:t>
      </w:r>
    </w:p>
    <w:p w:rsidR="00000000" w:rsidDel="00000000" w:rsidP="00000000" w:rsidRDefault="00000000" w:rsidRPr="00000000" w14:paraId="0000009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40" w:lineRule="auto"/>
        <w:ind w:left="720" w:right="0" w:hanging="360"/>
        <w:jc w:val="both"/>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subscript"/>
          <w:rtl w:val="0"/>
        </w:rPr>
        <w:t xml:space="preserve">0 </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3: There are no barriers to political prioritization of oral health in Kenya and South Africa.</w:t>
      </w:r>
    </w:p>
    <w:p w:rsidR="00000000" w:rsidDel="00000000" w:rsidP="00000000" w:rsidRDefault="00000000" w:rsidRPr="00000000" w14:paraId="0000009D">
      <w:pPr>
        <w:spacing w:line="360" w:lineRule="auto"/>
        <w:rPr>
          <w:sz w:val="24"/>
          <w:szCs w:val="24"/>
        </w:rPr>
      </w:pPr>
      <w:r w:rsidDel="00000000" w:rsidR="00000000" w:rsidRPr="00000000">
        <w:rPr>
          <w:rtl w:val="0"/>
        </w:rPr>
      </w:r>
    </w:p>
    <w:p w:rsidR="00000000" w:rsidDel="00000000" w:rsidP="00000000" w:rsidRDefault="00000000" w:rsidRPr="00000000" w14:paraId="0000009E">
      <w:pPr>
        <w:pStyle w:val="Heading2"/>
        <w:spacing w:line="360" w:lineRule="auto"/>
        <w:rPr>
          <w:sz w:val="24"/>
          <w:szCs w:val="24"/>
        </w:rPr>
      </w:pPr>
      <w:r w:rsidDel="00000000" w:rsidR="00000000" w:rsidRPr="00000000">
        <w:rPr>
          <w:sz w:val="24"/>
          <w:szCs w:val="24"/>
          <w:rtl w:val="0"/>
        </w:rPr>
        <w:t xml:space="preserve">1.7 Conceptual Framework:</w:t>
      </w:r>
    </w:p>
    <w:p w:rsidR="00000000" w:rsidDel="00000000" w:rsidP="00000000" w:rsidRDefault="00000000" w:rsidRPr="00000000" w14:paraId="0000009F">
      <w:pPr>
        <w:spacing w:line="360" w:lineRule="auto"/>
        <w:rPr>
          <w:sz w:val="24"/>
          <w:szCs w:val="24"/>
        </w:rPr>
      </w:pPr>
      <w:r w:rsidDel="00000000" w:rsidR="00000000" w:rsidRPr="00000000">
        <w:rPr>
          <w:sz w:val="24"/>
          <w:szCs w:val="24"/>
          <w:rtl w:val="0"/>
        </w:rPr>
        <w:t xml:space="preserve">For the purpose of this study, we will use the Shiffman and Smith framework (Shiffman &amp; Smith, 2007), modified by Benzian et. al (2011). Shiffman and Smiths framework identifies 11 criteria, based on four main categories that shape political support for global health initiatives.  </w:t>
      </w:r>
    </w:p>
    <w:p w:rsidR="00000000" w:rsidDel="00000000" w:rsidP="00000000" w:rsidRDefault="00000000" w:rsidRPr="00000000" w14:paraId="000000A0">
      <w:pPr>
        <w:spacing w:line="360" w:lineRule="auto"/>
        <w:rPr>
          <w:sz w:val="24"/>
          <w:szCs w:val="24"/>
        </w:rPr>
      </w:pPr>
      <w:r w:rsidDel="00000000" w:rsidR="00000000" w:rsidRPr="00000000">
        <w:rPr>
          <w:sz w:val="24"/>
          <w:szCs w:val="24"/>
          <w:rtl w:val="0"/>
        </w:rPr>
        <w:t xml:space="preserve">These are: the power of ideas, the power of the issue, the power of the actors and the power of political context. </w:t>
      </w:r>
    </w:p>
    <w:p w:rsidR="00000000" w:rsidDel="00000000" w:rsidP="00000000" w:rsidRDefault="00000000" w:rsidRPr="00000000" w14:paraId="000000A1">
      <w:pPr>
        <w:spacing w:line="360" w:lineRule="auto"/>
        <w:rPr>
          <w:sz w:val="24"/>
          <w:szCs w:val="24"/>
        </w:rPr>
      </w:pPr>
      <w:r w:rsidDel="00000000" w:rsidR="00000000" w:rsidRPr="00000000">
        <w:rPr>
          <w:sz w:val="24"/>
          <w:szCs w:val="24"/>
          <w:rtl w:val="0"/>
        </w:rPr>
        <w:t xml:space="preserve">This framework has been used b global health to assess political prioritization for issues such as maternal mortality</w:t>
      </w:r>
      <w:r w:rsidDel="00000000" w:rsidR="00000000" w:rsidRPr="00000000">
        <w:rPr>
          <w:color w:val="000000"/>
          <w:sz w:val="24"/>
          <w:szCs w:val="24"/>
          <w:rtl w:val="0"/>
        </w:rPr>
        <w:t xml:space="preserve">(Shiffman, 2007)</w:t>
      </w:r>
      <w:r w:rsidDel="00000000" w:rsidR="00000000" w:rsidRPr="00000000">
        <w:rPr>
          <w:sz w:val="24"/>
          <w:szCs w:val="24"/>
          <w:rtl w:val="0"/>
        </w:rPr>
        <w:t xml:space="preserve"> , Non-Communicable disease </w:t>
      </w:r>
      <w:r w:rsidDel="00000000" w:rsidR="00000000" w:rsidRPr="00000000">
        <w:rPr>
          <w:color w:val="000000"/>
          <w:sz w:val="24"/>
          <w:szCs w:val="24"/>
          <w:rtl w:val="0"/>
        </w:rPr>
        <w:t xml:space="preserve">(Heller et al., 2019)</w:t>
      </w:r>
      <w:r w:rsidDel="00000000" w:rsidR="00000000" w:rsidRPr="00000000">
        <w:rPr>
          <w:sz w:val="24"/>
          <w:szCs w:val="24"/>
          <w:rtl w:val="0"/>
        </w:rPr>
        <w:t xml:space="preserve"> , Surgically treatable conditions </w:t>
      </w:r>
      <w:r w:rsidDel="00000000" w:rsidR="00000000" w:rsidRPr="00000000">
        <w:rPr>
          <w:color w:val="000000"/>
          <w:sz w:val="24"/>
          <w:szCs w:val="24"/>
          <w:rtl w:val="0"/>
        </w:rPr>
        <w:t xml:space="preserve">(Shawar et al., 2015)</w:t>
      </w:r>
      <w:r w:rsidDel="00000000" w:rsidR="00000000" w:rsidRPr="00000000">
        <w:rPr>
          <w:sz w:val="24"/>
          <w:szCs w:val="24"/>
          <w:rtl w:val="0"/>
        </w:rPr>
        <w:t xml:space="preserve"> and oral health </w:t>
      </w:r>
      <w:r w:rsidDel="00000000" w:rsidR="00000000" w:rsidRPr="00000000">
        <w:rPr>
          <w:color w:val="000000"/>
          <w:sz w:val="24"/>
          <w:szCs w:val="24"/>
          <w:rtl w:val="0"/>
        </w:rPr>
        <w:t xml:space="preserve">(Benedetti et al., 2015; Benzian et al., 2011; Janakiram et al., 2018)</w:t>
      </w:r>
      <w:r w:rsidDel="00000000" w:rsidR="00000000" w:rsidRPr="00000000">
        <w:rPr>
          <w:rtl w:val="0"/>
        </w:rPr>
      </w:r>
    </w:p>
    <w:p w:rsidR="00000000" w:rsidDel="00000000" w:rsidP="00000000" w:rsidRDefault="00000000" w:rsidRPr="00000000" w14:paraId="000000A2">
      <w:pPr>
        <w:pStyle w:val="Heading2"/>
        <w:spacing w:line="360" w:lineRule="auto"/>
        <w:rPr>
          <w:sz w:val="24"/>
          <w:szCs w:val="24"/>
        </w:rPr>
      </w:pPr>
      <w:r w:rsidDel="00000000" w:rsidR="00000000" w:rsidRPr="00000000">
        <w:rPr>
          <w:sz w:val="24"/>
          <w:szCs w:val="24"/>
          <w:rtl w:val="0"/>
        </w:rPr>
        <w:t xml:space="preserve">1.8 Significance of the Study</w:t>
      </w:r>
    </w:p>
    <w:p w:rsidR="00000000" w:rsidDel="00000000" w:rsidP="00000000" w:rsidRDefault="00000000" w:rsidRPr="00000000" w14:paraId="000000A3">
      <w:pPr>
        <w:spacing w:line="360" w:lineRule="auto"/>
        <w:rPr/>
      </w:pPr>
      <w:r w:rsidDel="00000000" w:rsidR="00000000" w:rsidRPr="00000000">
        <w:rPr>
          <w:sz w:val="24"/>
          <w:szCs w:val="24"/>
          <w:rtl w:val="0"/>
        </w:rPr>
        <w:t xml:space="preserve">The findings of this study will highlight the role of policy prioritisation in shaping the oral health of African nations. In addition, this study may contribute in the development of feasible oral health policies within the African continent that are suitable to the health system of African states. Furthermore, the findings of this study may contribute to the creation of guidelines that enable policy implementation in order to achieve adequate political prioritisation of oral health issues in Africa. </w:t>
      </w:r>
      <w:r w:rsidDel="00000000" w:rsidR="00000000" w:rsidRPr="00000000">
        <w:br w:type="page"/>
      </w:r>
      <w:r w:rsidDel="00000000" w:rsidR="00000000" w:rsidRPr="00000000">
        <w:rPr>
          <w:rtl w:val="0"/>
        </w:rPr>
      </w:r>
    </w:p>
    <w:p w:rsidR="00000000" w:rsidDel="00000000" w:rsidP="00000000" w:rsidRDefault="00000000" w:rsidRPr="00000000" w14:paraId="000000A4">
      <w:pPr>
        <w:pStyle w:val="Heading1"/>
        <w:rPr/>
      </w:pPr>
      <w:r w:rsidDel="00000000" w:rsidR="00000000" w:rsidRPr="00000000">
        <w:rPr>
          <w:rtl w:val="0"/>
        </w:rPr>
        <w:t xml:space="preserve">SECTION TWO: LITERATURE REVIEW</w:t>
      </w:r>
    </w:p>
    <w:p w:rsidR="00000000" w:rsidDel="00000000" w:rsidP="00000000" w:rsidRDefault="00000000" w:rsidRPr="00000000" w14:paraId="000000A5">
      <w:pPr>
        <w:spacing w:line="360" w:lineRule="auto"/>
        <w:rPr>
          <w:sz w:val="24"/>
          <w:szCs w:val="24"/>
        </w:rPr>
      </w:pPr>
      <w:r w:rsidDel="00000000" w:rsidR="00000000" w:rsidRPr="00000000">
        <w:rPr>
          <w:rtl w:val="0"/>
        </w:rPr>
      </w:r>
    </w:p>
    <w:p w:rsidR="00000000" w:rsidDel="00000000" w:rsidP="00000000" w:rsidRDefault="00000000" w:rsidRPr="00000000" w14:paraId="000000A6">
      <w:pPr>
        <w:pStyle w:val="Heading2"/>
        <w:spacing w:line="360" w:lineRule="auto"/>
        <w:rPr>
          <w:sz w:val="24"/>
          <w:szCs w:val="24"/>
        </w:rPr>
      </w:pPr>
      <w:r w:rsidDel="00000000" w:rsidR="00000000" w:rsidRPr="00000000">
        <w:rPr>
          <w:rtl w:val="0"/>
        </w:rPr>
        <w:t xml:space="preserve">2.1 Introduction</w:t>
      </w:r>
      <w:r w:rsidDel="00000000" w:rsidR="00000000" w:rsidRPr="00000000">
        <w:rPr>
          <w:rtl w:val="0"/>
        </w:rPr>
      </w:r>
    </w:p>
    <w:p w:rsidR="00000000" w:rsidDel="00000000" w:rsidP="00000000" w:rsidRDefault="00000000" w:rsidRPr="00000000" w14:paraId="000000A7">
      <w:pPr>
        <w:spacing w:line="360" w:lineRule="auto"/>
        <w:rPr>
          <w:sz w:val="24"/>
          <w:szCs w:val="24"/>
        </w:rPr>
      </w:pPr>
      <w:r w:rsidDel="00000000" w:rsidR="00000000" w:rsidRPr="00000000">
        <w:rPr>
          <w:sz w:val="24"/>
          <w:szCs w:val="24"/>
          <w:rtl w:val="0"/>
        </w:rPr>
        <w:t xml:space="preserve">Politics plays a critical role in health (Oliver, 2006). Historically, several advances in public health occurred due to synergism between politics and science (Piot et al., 2007). The Bangkok Charter for Health Promotion in a Globalized World (WHO, 2005a) stresses that ‘Progress towards a healthier world requires strong political action, broad participation and sustained advocacy’ (WHO, 2005a). Not all health issues make it to the global or national health agenda or become a political priority. </w:t>
      </w:r>
    </w:p>
    <w:p w:rsidR="00000000" w:rsidDel="00000000" w:rsidP="00000000" w:rsidRDefault="00000000" w:rsidRPr="00000000" w14:paraId="000000A8">
      <w:pPr>
        <w:spacing w:line="360" w:lineRule="auto"/>
        <w:rPr>
          <w:sz w:val="24"/>
          <w:szCs w:val="24"/>
        </w:rPr>
      </w:pPr>
      <w:r w:rsidDel="00000000" w:rsidR="00000000" w:rsidRPr="00000000">
        <w:rPr>
          <w:sz w:val="24"/>
          <w:szCs w:val="24"/>
          <w:rtl w:val="0"/>
        </w:rPr>
        <w:t xml:space="preserve">Indicators of prioritisation in agenda making include pledges of support, policy change, budget commitments and intervention coverage by government and other international bodies. Given limited resources, only a limited number of issues can be on the agenda at a given time (Hilgartner &amp; Bosk, 1988). It is well known that some issues rise on the global health agenda, such as HIV, Malaria, Tuberculosis (Tan et al., 2003), child immunization (Shiffman &amp; Smith, 2007) and most recently COVID-19</w:t>
      </w:r>
      <w:r w:rsidDel="00000000" w:rsidR="00000000" w:rsidRPr="00000000">
        <w:rPr>
          <w:color w:val="000000"/>
          <w:sz w:val="24"/>
          <w:szCs w:val="24"/>
          <w:rtl w:val="0"/>
        </w:rPr>
        <w:t xml:space="preserve">(Smith et al., 2021)</w:t>
      </w:r>
      <w:r w:rsidDel="00000000" w:rsidR="00000000" w:rsidRPr="00000000">
        <w:rPr>
          <w:sz w:val="24"/>
          <w:szCs w:val="24"/>
          <w:rtl w:val="0"/>
        </w:rPr>
        <w:t xml:space="preserve">, whereas others remain neglected such as oral health (Peres et al., 2019).  This study will therefore be guided by the following political frameworks that seek to provide a rationale for the political prioritisation of certain health issues over others. From this we will illustrate the factors enabling and inhibiting oral health prioritisation in Africa.</w:t>
      </w:r>
    </w:p>
    <w:p w:rsidR="00000000" w:rsidDel="00000000" w:rsidP="00000000" w:rsidRDefault="00000000" w:rsidRPr="00000000" w14:paraId="000000A9">
      <w:pPr>
        <w:pStyle w:val="Heading2"/>
        <w:spacing w:line="360" w:lineRule="auto"/>
        <w:rPr/>
      </w:pPr>
      <w:r w:rsidDel="00000000" w:rsidR="00000000" w:rsidRPr="00000000">
        <w:rPr>
          <w:rtl w:val="0"/>
        </w:rPr>
      </w:r>
    </w:p>
    <w:p w:rsidR="00000000" w:rsidDel="00000000" w:rsidP="00000000" w:rsidRDefault="00000000" w:rsidRPr="00000000" w14:paraId="000000AA">
      <w:pPr>
        <w:pStyle w:val="Heading2"/>
        <w:spacing w:line="360" w:lineRule="auto"/>
        <w:rPr/>
      </w:pPr>
      <w:r w:rsidDel="00000000" w:rsidR="00000000" w:rsidRPr="00000000">
        <w:rPr>
          <w:rtl w:val="0"/>
        </w:rPr>
        <w:t xml:space="preserve">2.2 Theoretical Literature</w:t>
      </w:r>
    </w:p>
    <w:p w:rsidR="00000000" w:rsidDel="00000000" w:rsidP="00000000" w:rsidRDefault="00000000" w:rsidRPr="00000000" w14:paraId="000000AB">
      <w:pPr>
        <w:pStyle w:val="Heading3"/>
        <w:spacing w:line="360" w:lineRule="auto"/>
        <w:rPr>
          <w:color w:val="000000"/>
        </w:rPr>
      </w:pPr>
      <w:bookmarkStart w:colFirst="0" w:colLast="0" w:name="_vx1227" w:id="4"/>
      <w:bookmarkEnd w:id="4"/>
      <w:r w:rsidDel="00000000" w:rsidR="00000000" w:rsidRPr="00000000">
        <w:rPr>
          <w:color w:val="000000"/>
          <w:rtl w:val="0"/>
        </w:rPr>
        <w:t xml:space="preserve">2.21Kingdon’s Multiple Streams Framework:</w:t>
      </w:r>
    </w:p>
    <w:p w:rsidR="00000000" w:rsidDel="00000000" w:rsidP="00000000" w:rsidRDefault="00000000" w:rsidRPr="00000000" w14:paraId="000000AC">
      <w:pPr>
        <w:spacing w:line="360" w:lineRule="auto"/>
        <w:rPr>
          <w:sz w:val="24"/>
          <w:szCs w:val="24"/>
        </w:rPr>
      </w:pPr>
      <w:r w:rsidDel="00000000" w:rsidR="00000000" w:rsidRPr="00000000">
        <w:rPr>
          <w:sz w:val="24"/>
          <w:szCs w:val="24"/>
          <w:rtl w:val="0"/>
        </w:rPr>
        <w:t xml:space="preserve">Agenda setting is the first stage of the public policy process during which some issues are given attention by policymakers and others receive minimal attention or are neglected completely (Shiffman, 2007). To understand how agendas are set, Kingdon (1995) proposed the multiple streams framework. According to this framework, there are three streams, the problem stream, the policy stream and the political stream that are interconnected and interact to produce windows of opportunities for agenda setting. The problem stream is filled with perceptions of problems that are seen as “public” in the sense that government action is needed to resolve them. These problems usually reach the awareness of policy makers because of dramatic events such as crises or through feedback from existing programmes that attract public attention. The policy stream is filled with the output of experts and analysts who examine problems and propose solutions. In this stream, the myriad possibilities for policy action and inaction are identified, assessed, and narrowed down to a subset of ostensibly feasible options. Finally, the political stream comprises factors that influence the body politic, such as swings in national mood, executive or legislative turnover, and interest group advocacy campaigns. It refers to three components: ‘National mood,’ ‘Party ideology,’ and ‘Balance of interests. These three streams must interconnect for an issue to become a recognized problem on the agenda.</w:t>
      </w:r>
    </w:p>
    <w:p w:rsidR="00000000" w:rsidDel="00000000" w:rsidP="00000000" w:rsidRDefault="00000000" w:rsidRPr="00000000" w14:paraId="000000AD">
      <w:pPr>
        <w:pStyle w:val="Heading3"/>
        <w:spacing w:line="360" w:lineRule="auto"/>
        <w:rPr/>
      </w:pPr>
      <w:bookmarkStart w:colFirst="0" w:colLast="0" w:name="_3fwokq0" w:id="5"/>
      <w:bookmarkEnd w:id="5"/>
      <w:r w:rsidDel="00000000" w:rsidR="00000000" w:rsidRPr="00000000">
        <w:rPr>
          <w:rtl w:val="0"/>
        </w:rPr>
      </w:r>
    </w:p>
    <w:p w:rsidR="00000000" w:rsidDel="00000000" w:rsidP="00000000" w:rsidRDefault="00000000" w:rsidRPr="00000000" w14:paraId="000000AE">
      <w:pPr>
        <w:pStyle w:val="Heading3"/>
        <w:spacing w:line="360" w:lineRule="auto"/>
        <w:rPr/>
      </w:pPr>
      <w:bookmarkStart w:colFirst="0" w:colLast="0" w:name="_1v1yuxt" w:id="6"/>
      <w:bookmarkEnd w:id="6"/>
      <w:r w:rsidDel="00000000" w:rsidR="00000000" w:rsidRPr="00000000">
        <w:rPr>
          <w:rtl w:val="0"/>
        </w:rPr>
        <w:t xml:space="preserve">2.22 Howlett’s Five Stream framework:</w:t>
      </w:r>
    </w:p>
    <w:p w:rsidR="00000000" w:rsidDel="00000000" w:rsidP="00000000" w:rsidRDefault="00000000" w:rsidRPr="00000000" w14:paraId="000000AF">
      <w:pPr>
        <w:spacing w:line="360" w:lineRule="auto"/>
        <w:rPr>
          <w:sz w:val="24"/>
          <w:szCs w:val="24"/>
        </w:rPr>
      </w:pPr>
      <w:r w:rsidDel="00000000" w:rsidR="00000000" w:rsidRPr="00000000">
        <w:rPr>
          <w:sz w:val="24"/>
          <w:szCs w:val="24"/>
          <w:rtl w:val="0"/>
        </w:rPr>
        <w:t xml:space="preserve">An extension of Kingdon’s multiple streams theory, Howlett’s five stream framework identifies 5 streams that must interconnect at various stages. The 5 streams are: The problem of the framing and articulation of policy problems, the formulation of policies, policy alternatives and instruments, the main tasks and events which lead to policy outputs (Process), the politically active policy actors (Politics) and the management of implementation (Programme). </w:t>
      </w:r>
    </w:p>
    <w:p w:rsidR="00000000" w:rsidDel="00000000" w:rsidP="00000000" w:rsidRDefault="00000000" w:rsidRPr="00000000" w14:paraId="000000B0">
      <w:pPr>
        <w:spacing w:line="36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B1">
      <w:pPr>
        <w:pStyle w:val="Heading3"/>
        <w:spacing w:line="360" w:lineRule="auto"/>
        <w:rPr/>
      </w:pPr>
      <w:bookmarkStart w:colFirst="0" w:colLast="0" w:name="_4f1mdlm" w:id="7"/>
      <w:bookmarkEnd w:id="7"/>
      <w:r w:rsidDel="00000000" w:rsidR="00000000" w:rsidRPr="00000000">
        <w:rPr>
          <w:rtl w:val="0"/>
        </w:rPr>
        <w:t xml:space="preserve">2.23 Shiffman and Smith Framework</w:t>
      </w:r>
    </w:p>
    <w:p w:rsidR="00000000" w:rsidDel="00000000" w:rsidP="00000000" w:rsidRDefault="00000000" w:rsidRPr="00000000" w14:paraId="000000B2">
      <w:pPr>
        <w:spacing w:line="360" w:lineRule="auto"/>
        <w:rPr>
          <w:sz w:val="24"/>
          <w:szCs w:val="24"/>
        </w:rPr>
      </w:pPr>
      <w:r w:rsidDel="00000000" w:rsidR="00000000" w:rsidRPr="00000000">
        <w:rPr>
          <w:sz w:val="24"/>
          <w:szCs w:val="24"/>
          <w:rtl w:val="0"/>
        </w:rPr>
        <w:t xml:space="preserve">For political priority, according to Shiffman and Smith there are four categories of factors that shape political support for global health initiatives, with 11 determinants shown below in the political power framework. These categories are: the power of actors involved, ideas that portray the issue, the political context of the issue and the characteristics of the issue (Shiffman 2007). From these, the 11 determinants of political priority were described, spanning the factors within the body of leadership within which the issue is brought upon as well as the nature of the issue itself.</w:t>
      </w:r>
    </w:p>
    <w:p w:rsidR="00000000" w:rsidDel="00000000" w:rsidP="00000000" w:rsidRDefault="00000000" w:rsidRPr="00000000" w14:paraId="000000B3">
      <w:pPr>
        <w:spacing w:line="360" w:lineRule="auto"/>
        <w:rPr>
          <w:sz w:val="24"/>
          <w:szCs w:val="24"/>
        </w:rPr>
      </w:pPr>
      <w:r w:rsidDel="00000000" w:rsidR="00000000" w:rsidRPr="00000000">
        <w:rPr>
          <w:sz w:val="24"/>
          <w:szCs w:val="24"/>
          <w:rtl w:val="0"/>
        </w:rPr>
        <w:t xml:space="preserve">Global political priority is defined by Shiffman and Smith (2007)  as ‘the degree to which international and national political leaders actively give attention to an issue, and back up that attention with the provision of financial, technical and human resources that are commensurate with the severity of the issue’. Political prioritisation does not guarantee successful implementation, but is a facilitating factor to the success of addressing health issues. Global health issues vary in the amount of political attention they receive from various world leaders (Shiffman &amp; Smith, 2007). For example, HIV/AIDS continues to receive political priority (Shiffman &amp; Smith, 2007), Polio attracts huge investments in its eradication despite low prevalence (Benzian et al., 2011), but Non-Communicable diseases such as diabetes and cardiac diseases attract little resources even though they cause high mortality and morbidity ((Shiffman &amp; Smith, 2007)</w:t>
      </w:r>
    </w:p>
    <w:p w:rsidR="00000000" w:rsidDel="00000000" w:rsidP="00000000" w:rsidRDefault="00000000" w:rsidRPr="00000000" w14:paraId="000000B4">
      <w:pPr>
        <w:spacing w:line="360" w:lineRule="auto"/>
        <w:rPr>
          <w:sz w:val="24"/>
          <w:szCs w:val="24"/>
        </w:rPr>
      </w:pPr>
      <w:r w:rsidDel="00000000" w:rsidR="00000000" w:rsidRPr="00000000">
        <w:rPr>
          <w:rtl w:val="0"/>
        </w:rPr>
      </w:r>
    </w:p>
    <w:p w:rsidR="00000000" w:rsidDel="00000000" w:rsidP="00000000" w:rsidRDefault="00000000" w:rsidRPr="00000000" w14:paraId="000000B5">
      <w:pPr>
        <w:pStyle w:val="Heading2"/>
        <w:spacing w:line="360" w:lineRule="auto"/>
        <w:rPr/>
      </w:pPr>
      <w:bookmarkStart w:colFirst="0" w:colLast="0" w:name="_2u6wntf" w:id="8"/>
      <w:bookmarkEnd w:id="8"/>
      <w:r w:rsidDel="00000000" w:rsidR="00000000" w:rsidRPr="00000000">
        <w:rPr>
          <w:rtl w:val="0"/>
        </w:rPr>
        <w:t xml:space="preserve">2.3 The Case for Political Priority in Global Health: HIV/AIDS</w:t>
      </w:r>
    </w:p>
    <w:p w:rsidR="00000000" w:rsidDel="00000000" w:rsidP="00000000" w:rsidRDefault="00000000" w:rsidRPr="00000000" w14:paraId="000000B6">
      <w:pPr>
        <w:spacing w:line="360" w:lineRule="auto"/>
        <w:rPr>
          <w:sz w:val="24"/>
          <w:szCs w:val="24"/>
        </w:rPr>
      </w:pPr>
      <w:r w:rsidDel="00000000" w:rsidR="00000000" w:rsidRPr="00000000">
        <w:rPr>
          <w:sz w:val="24"/>
          <w:szCs w:val="24"/>
          <w:rtl w:val="0"/>
        </w:rPr>
        <w:t xml:space="preserve">The global public health response to HIV/AIDS is the most outstanding example of how politics, policy and public health are interconnected (Piot et al., 2007).  The response to AIDS was highly politicized, partly due to the nature of the spread of the disease and the stigma associated with sexual intercourse and intravenous drug use as well as the fact that the epidemic was fueled by socio-economic injustices. The fight against HIV/AIDS is thus an example of synergistic efforts between public health and political strategy, which remains key in containing the spread of the epidemic. The Millennium Development Goals also had two HIV related commitments, to reverse the spread of HIV by 2015, and to ensure access to treatment to all those in need by 2010. </w:t>
      </w:r>
    </w:p>
    <w:p w:rsidR="00000000" w:rsidDel="00000000" w:rsidP="00000000" w:rsidRDefault="00000000" w:rsidRPr="00000000" w14:paraId="000000B7">
      <w:pPr>
        <w:spacing w:line="360" w:lineRule="auto"/>
        <w:rPr>
          <w:sz w:val="24"/>
          <w:szCs w:val="24"/>
        </w:rPr>
      </w:pPr>
      <w:r w:rsidDel="00000000" w:rsidR="00000000" w:rsidRPr="00000000">
        <w:rPr>
          <w:sz w:val="24"/>
          <w:szCs w:val="24"/>
          <w:rtl w:val="0"/>
        </w:rPr>
        <w:t xml:space="preserve">Though not fully achieved, there has been progress due to political commitments, ambitious time bound targets and massive donor investments (Prendergast et al., 2015). HIV/AIDS is also part of the Sustainable Development goal 3.3, with a target to end the epidemic of AIDS, malaria and tuberculosis by 2030.According to the UNAIDS (2021), about 37.7 million people are currently living with HIV. Access to treatment has increased, with about 28.2 million people (74.8%) accessing antiretroviral treatment, as of 30th June 2021, an increase from 7.8 Million in 2010. New infections have also reduced by 52%. In the year 1997, there were three million new infections, compared to 1.5 million new infections in the year 2020 (UNAIDS, 2021).</w:t>
      </w:r>
    </w:p>
    <w:p w:rsidR="00000000" w:rsidDel="00000000" w:rsidP="00000000" w:rsidRDefault="00000000" w:rsidRPr="00000000" w14:paraId="000000B8">
      <w:pPr>
        <w:spacing w:line="360" w:lineRule="auto"/>
        <w:rPr>
          <w:sz w:val="24"/>
          <w:szCs w:val="24"/>
        </w:rPr>
      </w:pPr>
      <w:r w:rsidDel="00000000" w:rsidR="00000000" w:rsidRPr="00000000">
        <w:rPr>
          <w:rtl w:val="0"/>
        </w:rPr>
      </w:r>
    </w:p>
    <w:p w:rsidR="00000000" w:rsidDel="00000000" w:rsidP="00000000" w:rsidRDefault="00000000" w:rsidRPr="00000000" w14:paraId="000000B9">
      <w:pPr>
        <w:pStyle w:val="Heading2"/>
        <w:spacing w:line="360" w:lineRule="auto"/>
        <w:rPr/>
      </w:pPr>
      <w:bookmarkStart w:colFirst="0" w:colLast="0" w:name="_19c6y18" w:id="9"/>
      <w:bookmarkEnd w:id="9"/>
      <w:r w:rsidDel="00000000" w:rsidR="00000000" w:rsidRPr="00000000">
        <w:rPr>
          <w:rtl w:val="0"/>
        </w:rPr>
        <w:t xml:space="preserve">2.4 ORAL HEALTH AND THE GLOBAL BURDEN OF ORAL DISEASES</w:t>
      </w:r>
    </w:p>
    <w:p w:rsidR="00000000" w:rsidDel="00000000" w:rsidP="00000000" w:rsidRDefault="00000000" w:rsidRPr="00000000" w14:paraId="000000BA">
      <w:pPr>
        <w:spacing w:line="360" w:lineRule="auto"/>
        <w:rPr>
          <w:sz w:val="24"/>
          <w:szCs w:val="24"/>
        </w:rPr>
      </w:pPr>
      <w:r w:rsidDel="00000000" w:rsidR="00000000" w:rsidRPr="00000000">
        <w:rPr>
          <w:sz w:val="24"/>
          <w:szCs w:val="24"/>
          <w:rtl w:val="0"/>
        </w:rPr>
        <w:t xml:space="preserve">Oral health has been defined as a state of being free from mouth and facial pain, oral diseases and disorders that limit an individual’s capacity in biting, chewing, smiling, speaking and psychosocial well-being (WHO, 2012).  Although most oral health conditions are preventable, they are highly prevalent with about 3.5 billion people affected worldwide (Bernabe et al., 2020; Marcenes et al., 2013). Therefore, they pose a global public health challenge (Peres et al., 2019).The most common oral diseases are dental caries (tooth decay), periodontal diseases, oral cancers, oro-dental trauma, cleft lip and palate, and noma (severe gangrenous disease starting in the mouth mostly affecting children). They cause pain and suffering, leading to changes in people’s diet, speech and are also thought to have an effect on several chronic diseases (Petersen, 2008) such as Diabetes and Cardiovascular diseases.</w:t>
      </w:r>
    </w:p>
    <w:p w:rsidR="00000000" w:rsidDel="00000000" w:rsidP="00000000" w:rsidRDefault="00000000" w:rsidRPr="00000000" w14:paraId="000000BB">
      <w:pPr>
        <w:spacing w:line="360" w:lineRule="auto"/>
        <w:rPr>
          <w:sz w:val="24"/>
          <w:szCs w:val="24"/>
          <w:highlight w:val="yellow"/>
        </w:rPr>
      </w:pPr>
      <w:r w:rsidDel="00000000" w:rsidR="00000000" w:rsidRPr="00000000">
        <w:rPr>
          <w:sz w:val="24"/>
          <w:szCs w:val="24"/>
          <w:rtl w:val="0"/>
        </w:rPr>
        <w:t xml:space="preserve">The financial burden of oral health is not to be neglected. Dental caries is the fourth most expensive chronic disease to treat ( Peterson,2008), and since oral health is not usually catered for in benefits packages, this expense is usually funded by an out of pocket payment, and contributes to financial hardship experienced by the patient. The global economic impact of dental disease was 442 billion US dollars in the year 2010 (Listl et al., 2015). In Italy, 86% of the population pay for dental care, whereas only 6% receive dental care free of charge. Politically, the burden of disease due to poor oral health has not gathered the attention it deserves. </w:t>
      </w:r>
      <w:r w:rsidDel="00000000" w:rsidR="00000000" w:rsidRPr="00000000">
        <w:rPr>
          <w:sz w:val="24"/>
          <w:szCs w:val="24"/>
          <w:highlight w:val="yellow"/>
          <w:rtl w:val="0"/>
        </w:rPr>
        <w:t xml:space="preserve"> </w:t>
      </w:r>
    </w:p>
    <w:p w:rsidR="00000000" w:rsidDel="00000000" w:rsidP="00000000" w:rsidRDefault="00000000" w:rsidRPr="00000000" w14:paraId="000000BC">
      <w:pPr>
        <w:pStyle w:val="Heading4"/>
        <w:rPr>
          <w:rFonts w:ascii="Century Gothic" w:cs="Century Gothic" w:eastAsia="Century Gothic" w:hAnsi="Century Gothic"/>
        </w:rPr>
      </w:pPr>
      <w:bookmarkStart w:colFirst="0" w:colLast="0" w:name="_3tbugp1" w:id="10"/>
      <w:bookmarkEnd w:id="10"/>
      <w:r w:rsidDel="00000000" w:rsidR="00000000" w:rsidRPr="00000000">
        <w:rPr>
          <w:rFonts w:ascii="Century Gothic" w:cs="Century Gothic" w:eastAsia="Century Gothic" w:hAnsi="Century Gothic"/>
          <w:rtl w:val="0"/>
        </w:rPr>
        <w:t xml:space="preserve">2.4.1 OMISSION FROM GLOBAL POLITICAL DECLARATIONS:</w:t>
      </w:r>
    </w:p>
    <w:p w:rsidR="00000000" w:rsidDel="00000000" w:rsidP="00000000" w:rsidRDefault="00000000" w:rsidRPr="00000000" w14:paraId="000000BD">
      <w:pPr>
        <w:spacing w:line="360" w:lineRule="auto"/>
        <w:rPr>
          <w:sz w:val="24"/>
          <w:szCs w:val="24"/>
        </w:rPr>
      </w:pPr>
      <w:r w:rsidDel="00000000" w:rsidR="00000000" w:rsidRPr="00000000">
        <w:rPr>
          <w:sz w:val="24"/>
          <w:szCs w:val="24"/>
          <w:rtl w:val="0"/>
        </w:rPr>
        <w:t xml:space="preserve">Despite the important role of oral health in the community's overall health, well-being, and quality of life, this area has not been adequately captured in many global health plans, policies and strategies (Mathur et al., 2015a). The Declaration of Alma Ata (1978)  recognized the role of governments to achieve health for all, through Primary Health Care (PHC). Primary health care is the first level of contact of individuals, the family and community with the national health system bringing health care as close as possible to where people live and work, and constitutes the first element of a continuing health care process. The Alma Ata declaration tasked governments to formulate policies, strategic plans to launch and sustain primary health care. Despite the importance of oral health for general health, it was only in 2009 that the 7th WHO conference on health promotion advocated for the integration of oral health in primary health care (Prasad et al., 2019). </w:t>
      </w:r>
    </w:p>
    <w:p w:rsidR="00000000" w:rsidDel="00000000" w:rsidP="00000000" w:rsidRDefault="00000000" w:rsidRPr="00000000" w14:paraId="000000BE">
      <w:pPr>
        <w:spacing w:line="360" w:lineRule="auto"/>
        <w:rPr>
          <w:sz w:val="24"/>
          <w:szCs w:val="24"/>
        </w:rPr>
      </w:pPr>
      <w:r w:rsidDel="00000000" w:rsidR="00000000" w:rsidRPr="00000000">
        <w:rPr>
          <w:sz w:val="24"/>
          <w:szCs w:val="24"/>
          <w:rtl w:val="0"/>
        </w:rPr>
        <w:t xml:space="preserve">The MDGs focused on ending poverty through 8 time bound global goals. There were three health related goals: reduction in child (under 5 years) mortality (Goal 4); reduction in maternal mortality and access to reproductive health care (Goal 5); and reversing the spread of HIV/AIDS, tuberculosis and malaria (Goal 6). These MDGs galvanized politicians and civil societies to focus on common agendas and confirmed that progress is possible (Vega, 2013). Oral diseases were not captured by the MDGs. </w:t>
      </w:r>
    </w:p>
    <w:p w:rsidR="00000000" w:rsidDel="00000000" w:rsidP="00000000" w:rsidRDefault="00000000" w:rsidRPr="00000000" w14:paraId="000000BF">
      <w:pPr>
        <w:spacing w:line="360" w:lineRule="auto"/>
        <w:rPr>
          <w:sz w:val="24"/>
          <w:szCs w:val="24"/>
        </w:rPr>
      </w:pPr>
      <w:r w:rsidDel="00000000" w:rsidR="00000000" w:rsidRPr="00000000">
        <w:rPr>
          <w:sz w:val="24"/>
          <w:szCs w:val="24"/>
          <w:rtl w:val="0"/>
        </w:rPr>
        <w:t xml:space="preserve">Following the expiry of the MDGs, the SDG 2030 agenda was adopted which also did not include oral health (Huang &amp; Chang, 2022). Among the SDGs, member states pledged to achieve Universal Health Care (UHC). To monitor progress towards UHC, WHO and the World Bank use 16 tracer indicators in four categories: (i) reproductive, maternal, and child health; (ii) infectious diseases, (iii) non-communicable diseases; and (iv) service capacity and access. Though poor oral health is recognized as a non-communicable disease, it is not an indicator for monitoring UHC (Wang et al., 2020). </w:t>
      </w:r>
    </w:p>
    <w:p w:rsidR="00000000" w:rsidDel="00000000" w:rsidP="00000000" w:rsidRDefault="00000000" w:rsidRPr="00000000" w14:paraId="000000C0">
      <w:pPr>
        <w:spacing w:line="360" w:lineRule="auto"/>
        <w:rPr>
          <w:sz w:val="24"/>
          <w:szCs w:val="24"/>
        </w:rPr>
      </w:pPr>
      <w:r w:rsidDel="00000000" w:rsidR="00000000" w:rsidRPr="00000000">
        <w:rPr>
          <w:rtl w:val="0"/>
        </w:rPr>
      </w:r>
    </w:p>
    <w:p w:rsidR="00000000" w:rsidDel="00000000" w:rsidP="00000000" w:rsidRDefault="00000000" w:rsidRPr="00000000" w14:paraId="000000C1">
      <w:pPr>
        <w:pStyle w:val="Heading4"/>
        <w:rPr>
          <w:rFonts w:ascii="Century Gothic" w:cs="Century Gothic" w:eastAsia="Century Gothic" w:hAnsi="Century Gothic"/>
        </w:rPr>
      </w:pPr>
      <w:bookmarkStart w:colFirst="0" w:colLast="0" w:name="_28h4qwu" w:id="11"/>
      <w:bookmarkEnd w:id="11"/>
      <w:r w:rsidDel="00000000" w:rsidR="00000000" w:rsidRPr="00000000">
        <w:rPr>
          <w:rFonts w:ascii="Century Gothic" w:cs="Century Gothic" w:eastAsia="Century Gothic" w:hAnsi="Century Gothic"/>
          <w:rtl w:val="0"/>
        </w:rPr>
        <w:t xml:space="preserve">2.4.2 IMPLEMENTATION OF GLOBAL POLICIES</w:t>
      </w:r>
    </w:p>
    <w:p w:rsidR="00000000" w:rsidDel="00000000" w:rsidP="00000000" w:rsidRDefault="00000000" w:rsidRPr="00000000" w14:paraId="000000C2">
      <w:pPr>
        <w:spacing w:line="360" w:lineRule="auto"/>
        <w:rPr>
          <w:sz w:val="24"/>
          <w:szCs w:val="24"/>
        </w:rPr>
      </w:pPr>
      <w:r w:rsidDel="00000000" w:rsidR="00000000" w:rsidRPr="00000000">
        <w:rPr>
          <w:sz w:val="24"/>
          <w:szCs w:val="24"/>
          <w:rtl w:val="0"/>
        </w:rPr>
        <w:t xml:space="preserve">There have been several global goals and political calls to action to improve oral health. In 1982, the World Dental Federation (FDI) set ambitious global goals for oral health by the year 2000. These goals included 50% of children aged 5-6 years should be free of dental caries and children aged 12 should have three or fewer decayed, missing or filled teeth </w:t>
      </w:r>
      <w:r w:rsidDel="00000000" w:rsidR="00000000" w:rsidRPr="00000000">
        <w:rPr>
          <w:color w:val="000000"/>
          <w:sz w:val="24"/>
          <w:szCs w:val="24"/>
          <w:rtl w:val="0"/>
        </w:rPr>
        <w:t xml:space="preserve">(World Health Organization (WHO), 1984)</w:t>
      </w:r>
      <w:r w:rsidDel="00000000" w:rsidR="00000000" w:rsidRPr="00000000">
        <w:rPr>
          <w:sz w:val="24"/>
          <w:szCs w:val="24"/>
          <w:rtl w:val="0"/>
        </w:rPr>
        <w:t xml:space="preserve">. Following this, the Global Goals for Oral Health were established, to be achieved by 2020, by World Dental Federation (FDI), WHO, and International Association of Dental Research (IADR). </w:t>
      </w:r>
    </w:p>
    <w:p w:rsidR="00000000" w:rsidDel="00000000" w:rsidP="00000000" w:rsidRDefault="00000000" w:rsidRPr="00000000" w14:paraId="000000C3">
      <w:pPr>
        <w:spacing w:line="360" w:lineRule="auto"/>
        <w:rPr>
          <w:sz w:val="24"/>
          <w:szCs w:val="24"/>
        </w:rPr>
      </w:pPr>
      <w:r w:rsidDel="00000000" w:rsidR="00000000" w:rsidRPr="00000000">
        <w:rPr>
          <w:sz w:val="24"/>
          <w:szCs w:val="24"/>
          <w:rtl w:val="0"/>
        </w:rPr>
        <w:t xml:space="preserve">Despite the formulation of these policies and goals, a systematic analysis comparing prevalence of oral health conditions between 1990 and 2015 concluded that oral health had not improved in the 25 year period, and that the global cumulative burden of oral diseases dramatically increased from 2.5 Billion to 3.5 Billion (Kassebaum et al.,2015). 621 million children were found to suffer from untreated dental caries, making it the 10th most prevalent condition in the year 2010 (Kassebaum et al 2015). It is interesting to note, that in the same time frame, the prevalence of Infectious diseases reduced (Lozano et al., 2012), postulated to be mainly due to the political prioritisation for HIV, Malaria and Tuberculosis (Molyneux, 2008). </w:t>
      </w:r>
    </w:p>
    <w:p w:rsidR="00000000" w:rsidDel="00000000" w:rsidP="00000000" w:rsidRDefault="00000000" w:rsidRPr="00000000" w14:paraId="000000C4">
      <w:pPr>
        <w:spacing w:line="360" w:lineRule="auto"/>
        <w:rPr>
          <w:sz w:val="24"/>
          <w:szCs w:val="24"/>
        </w:rPr>
      </w:pPr>
      <w:r w:rsidDel="00000000" w:rsidR="00000000" w:rsidRPr="00000000">
        <w:rPr>
          <w:sz w:val="24"/>
          <w:szCs w:val="24"/>
          <w:rtl w:val="0"/>
        </w:rPr>
        <w:t xml:space="preserve">In 2007, the WHA agreed on a resolution, “Oral health: action plan for promotion and integrated disease prevention.” (Peterson, 2007) which asked countries to improve their primary oral health care and focus on population oriented health promotion and disease prevention (Petersen.2007).  It emphasized the need to reduce exposure to common risk factors of NCDs and oral diseases: sugar, tobacco and alcohol through the Common Risk Factor Approach (CRFA) (Sheiham &amp; Watt, 2000). However, integration of oral health in primary health remains poor in many countries, A scoping review aimed at studying the barriers and facilitators of oral health care into PHC in several countries found that a lack of political leadership, poor understanding of the oral health status of the population and low prioritisation of oral health on the political agenda as well the absence of appropriate oral health policies were barriers for integrated care at the macro level (Harnagea et al., 2017). Other reasons for the lack of integration of oral health into primary health care were the fragmentation of oral and general health care.</w:t>
      </w:r>
    </w:p>
    <w:p w:rsidR="00000000" w:rsidDel="00000000" w:rsidP="00000000" w:rsidRDefault="00000000" w:rsidRPr="00000000" w14:paraId="000000C5">
      <w:pPr>
        <w:spacing w:line="360" w:lineRule="auto"/>
        <w:rPr>
          <w:sz w:val="24"/>
          <w:szCs w:val="24"/>
        </w:rPr>
      </w:pPr>
      <w:r w:rsidDel="00000000" w:rsidR="00000000" w:rsidRPr="00000000">
        <w:rPr>
          <w:rtl w:val="0"/>
        </w:rPr>
      </w:r>
    </w:p>
    <w:p w:rsidR="00000000" w:rsidDel="00000000" w:rsidP="00000000" w:rsidRDefault="00000000" w:rsidRPr="00000000" w14:paraId="000000C6">
      <w:pPr>
        <w:pStyle w:val="Heading4"/>
        <w:rPr>
          <w:rFonts w:ascii="Century Gothic" w:cs="Century Gothic" w:eastAsia="Century Gothic" w:hAnsi="Century Gothic"/>
        </w:rPr>
      </w:pPr>
      <w:bookmarkStart w:colFirst="0" w:colLast="0" w:name="_nmf14n" w:id="12"/>
      <w:bookmarkEnd w:id="12"/>
      <w:r w:rsidDel="00000000" w:rsidR="00000000" w:rsidRPr="00000000">
        <w:rPr>
          <w:rFonts w:ascii="Century Gothic" w:cs="Century Gothic" w:eastAsia="Century Gothic" w:hAnsi="Century Gothic"/>
          <w:rtl w:val="0"/>
        </w:rPr>
        <w:t xml:space="preserve">2.4.3 UNIVERSAL HEALTH COVERAGE (UHC) AND ORAL HEALTH:</w:t>
      </w:r>
    </w:p>
    <w:p w:rsidR="00000000" w:rsidDel="00000000" w:rsidP="00000000" w:rsidRDefault="00000000" w:rsidRPr="00000000" w14:paraId="000000C7">
      <w:pPr>
        <w:spacing w:line="360" w:lineRule="auto"/>
        <w:rPr>
          <w:sz w:val="24"/>
          <w:szCs w:val="24"/>
        </w:rPr>
      </w:pPr>
      <w:r w:rsidDel="00000000" w:rsidR="00000000" w:rsidRPr="00000000">
        <w:rPr>
          <w:sz w:val="24"/>
          <w:szCs w:val="24"/>
          <w:rtl w:val="0"/>
        </w:rPr>
        <w:t xml:space="preserve">Most high-income countries currently implement UHC with partial dental coverage, resulting in disparities in access to care and oral health outcomes (Wang et al., 2020). A 2010 survey of 29 Organisation for Economic Cooperation and Development (OECD) countries found that only five (Austria, Mexico, Poland, Spain and Turkey) covered the full cost of dental care and six (Belgium, Finland, Germany, Iceland, Japan and United Kingdom) covered 76–99% of the costs (Paris &amp; Wei, 2010). Three countries (Luxembourg, Republic of Korea and Slovakia) covered 50–75%. Nine countries (Czech Republic, Denmark, France, Greece, Hungary, Italy, Netherlands, Portugal and Sweden) covered less than half of dental costs, and six (Australia, Canada, Ireland, New Zealand, Norway and Switzerland) did not cover any (Wang et al., 2020). Brazil integrated dental and primary medical care through the nation policy Brasil Sorridente (Smiling Brazil) in 2004. Several low and middle-income countries (LMICs), do not have UHC initiatives that integrate universal oral health program (Wang et al., 2020). Coverage, availability, and access to oral health care—including early diagnosis, prevention, and basic treatment—are grossly inadequate or completely lacking (Mathur et al., 2015b).</w:t>
      </w:r>
    </w:p>
    <w:p w:rsidR="00000000" w:rsidDel="00000000" w:rsidP="00000000" w:rsidRDefault="00000000" w:rsidRPr="00000000" w14:paraId="000000C8">
      <w:pPr>
        <w:spacing w:line="360" w:lineRule="auto"/>
        <w:rPr>
          <w:sz w:val="24"/>
          <w:szCs w:val="24"/>
        </w:rPr>
      </w:pPr>
      <w:r w:rsidDel="00000000" w:rsidR="00000000" w:rsidRPr="00000000">
        <w:rPr>
          <w:rtl w:val="0"/>
        </w:rPr>
      </w:r>
    </w:p>
    <w:p w:rsidR="00000000" w:rsidDel="00000000" w:rsidP="00000000" w:rsidRDefault="00000000" w:rsidRPr="00000000" w14:paraId="000000C9">
      <w:pPr>
        <w:pStyle w:val="Heading4"/>
        <w:rPr>
          <w:rFonts w:ascii="Century Gothic" w:cs="Century Gothic" w:eastAsia="Century Gothic" w:hAnsi="Century Gothic"/>
        </w:rPr>
      </w:pPr>
      <w:bookmarkStart w:colFirst="0" w:colLast="0" w:name="_37m2jsg" w:id="13"/>
      <w:bookmarkEnd w:id="13"/>
      <w:r w:rsidDel="00000000" w:rsidR="00000000" w:rsidRPr="00000000">
        <w:rPr>
          <w:rFonts w:ascii="Century Gothic" w:cs="Century Gothic" w:eastAsia="Century Gothic" w:hAnsi="Century Gothic"/>
          <w:rtl w:val="0"/>
        </w:rPr>
        <w:t xml:space="preserve">2.4.4 RESOURCES FOR ORAL HEALTH</w:t>
      </w:r>
    </w:p>
    <w:p w:rsidR="00000000" w:rsidDel="00000000" w:rsidP="00000000" w:rsidRDefault="00000000" w:rsidRPr="00000000" w14:paraId="000000CA">
      <w:pPr>
        <w:spacing w:line="360" w:lineRule="auto"/>
        <w:rPr>
          <w:sz w:val="24"/>
          <w:szCs w:val="24"/>
        </w:rPr>
      </w:pPr>
      <w:r w:rsidDel="00000000" w:rsidR="00000000" w:rsidRPr="00000000">
        <w:rPr>
          <w:sz w:val="24"/>
          <w:szCs w:val="24"/>
          <w:rtl w:val="0"/>
        </w:rPr>
        <w:t xml:space="preserve">Despite the WHA resolution advocating for oral health promotion and disease prevention strategies, only an average of 1% of the Gross National Product (GNP) was spent on oral health globally (Petersen et al., 2020). In Brazil, The investment in the National Oral Health Policy grew 944.2% from 2002 to December 2009. During this period, the value invested rose from US$ 30,899,396 per year to US$ 322,648,905 per year ((Pucca Junior et al., 2010). In 1998, the WHO regional committee for Africa adopted a 10 year Oral Health Plan for Africa ( 1999-2008) to improve community oral health (Ndiaye, 2005). A survey conducted in the year 2011 however showed that only 27 countries out of the 47 member states had an oral health strategic plan and only 14 had a dedicated national oral health budget (World Health Organisation Regional Office for Africa, 2016). This demonstrates a low level of prioritisation of oral health in Africa.</w:t>
      </w:r>
    </w:p>
    <w:p w:rsidR="00000000" w:rsidDel="00000000" w:rsidP="00000000" w:rsidRDefault="00000000" w:rsidRPr="00000000" w14:paraId="000000CB">
      <w:pPr>
        <w:spacing w:line="360" w:lineRule="auto"/>
        <w:rPr>
          <w:sz w:val="24"/>
          <w:szCs w:val="24"/>
        </w:rPr>
      </w:pPr>
      <w:r w:rsidDel="00000000" w:rsidR="00000000" w:rsidRPr="00000000">
        <w:rPr>
          <w:rtl w:val="0"/>
        </w:rPr>
      </w:r>
    </w:p>
    <w:p w:rsidR="00000000" w:rsidDel="00000000" w:rsidP="00000000" w:rsidRDefault="00000000" w:rsidRPr="00000000" w14:paraId="000000CC">
      <w:pPr>
        <w:spacing w:line="360" w:lineRule="auto"/>
        <w:rPr>
          <w:sz w:val="24"/>
          <w:szCs w:val="24"/>
        </w:rPr>
      </w:pPr>
      <w:r w:rsidDel="00000000" w:rsidR="00000000" w:rsidRPr="00000000">
        <w:rPr>
          <w:rtl w:val="0"/>
        </w:rPr>
      </w:r>
    </w:p>
    <w:p w:rsidR="00000000" w:rsidDel="00000000" w:rsidP="00000000" w:rsidRDefault="00000000" w:rsidRPr="00000000" w14:paraId="000000CD">
      <w:pPr>
        <w:pStyle w:val="Heading4"/>
        <w:rPr>
          <w:rFonts w:ascii="Century Gothic" w:cs="Century Gothic" w:eastAsia="Century Gothic" w:hAnsi="Century Gothic"/>
        </w:rPr>
      </w:pPr>
      <w:bookmarkStart w:colFirst="0" w:colLast="0" w:name="_1mrcu09" w:id="14"/>
      <w:bookmarkEnd w:id="14"/>
      <w:r w:rsidDel="00000000" w:rsidR="00000000" w:rsidRPr="00000000">
        <w:rPr>
          <w:rFonts w:ascii="Century Gothic" w:cs="Century Gothic" w:eastAsia="Century Gothic" w:hAnsi="Century Gothic"/>
          <w:rtl w:val="0"/>
        </w:rPr>
        <w:t xml:space="preserve">2.4.5 INTEGRATION OF ORAL HEALTH INTO GENERAL HEALTH SERVICES</w:t>
      </w:r>
    </w:p>
    <w:p w:rsidR="00000000" w:rsidDel="00000000" w:rsidP="00000000" w:rsidRDefault="00000000" w:rsidRPr="00000000" w14:paraId="000000CE">
      <w:pPr>
        <w:spacing w:line="360" w:lineRule="auto"/>
        <w:rPr>
          <w:sz w:val="24"/>
          <w:szCs w:val="24"/>
        </w:rPr>
      </w:pPr>
      <w:r w:rsidDel="00000000" w:rsidR="00000000" w:rsidRPr="00000000">
        <w:rPr>
          <w:sz w:val="24"/>
          <w:szCs w:val="24"/>
          <w:rtl w:val="0"/>
        </w:rPr>
        <w:t xml:space="preserve">Even though oral health is important for general health, and oral conditions affect several chronic conditions such as diabetes and cardiovascular diseases , oral health care has not been integrated into general health care. In Italy for example, the Italian Oral Health Services are separate from the general health services with 90% of oral health service provision being private care (Benedetti et al., 2015). In addition, In a study conducted in an aged care home in East Netherlands (Niesten et al., 2021), it was found that the barriers of integrating oral health with general health was at all levels: from policy level, to training to individual level. </w:t>
      </w:r>
    </w:p>
    <w:p w:rsidR="00000000" w:rsidDel="00000000" w:rsidP="00000000" w:rsidRDefault="00000000" w:rsidRPr="00000000" w14:paraId="000000CF">
      <w:pPr>
        <w:spacing w:line="360" w:lineRule="auto"/>
        <w:rPr>
          <w:sz w:val="24"/>
          <w:szCs w:val="24"/>
        </w:rPr>
      </w:pPr>
      <w:r w:rsidDel="00000000" w:rsidR="00000000" w:rsidRPr="00000000">
        <w:rPr>
          <w:sz w:val="24"/>
          <w:szCs w:val="24"/>
          <w:rtl w:val="0"/>
        </w:rPr>
        <w:t xml:space="preserve">At policy level (macro level), policy makers view oral health as a separate unit, with no integrated health policies. At training level (meso), the oral health care training was compartmentalised, whereas at individual or meso level, there was poor interprofessional communication. Another important barrier that was recognized was low political attention, that led to the lack of integration of oral health in general health </w:t>
      </w:r>
      <w:r w:rsidDel="00000000" w:rsidR="00000000" w:rsidRPr="00000000">
        <w:rPr>
          <w:color w:val="000000"/>
          <w:sz w:val="24"/>
          <w:szCs w:val="24"/>
          <w:rtl w:val="0"/>
        </w:rPr>
        <w:t xml:space="preserve">(Emami et al., 2016; Harnagea et al., 2017, 2018)</w:t>
      </w:r>
      <w:r w:rsidDel="00000000" w:rsidR="00000000" w:rsidRPr="00000000">
        <w:rPr>
          <w:sz w:val="24"/>
          <w:szCs w:val="24"/>
          <w:rtl w:val="0"/>
        </w:rPr>
        <w:t xml:space="preserve">. With the existing oral health care workers, there is lack of cross craft training where Oral Health care workers are trained in isolation (Crean &amp; Batchelor, 2019) making integration with general health difficult.</w:t>
      </w:r>
    </w:p>
    <w:p w:rsidR="00000000" w:rsidDel="00000000" w:rsidP="00000000" w:rsidRDefault="00000000" w:rsidRPr="00000000" w14:paraId="000000D0">
      <w:pPr>
        <w:spacing w:line="36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D1">
      <w:pPr>
        <w:pStyle w:val="Heading3"/>
        <w:spacing w:line="360" w:lineRule="auto"/>
        <w:rPr/>
      </w:pPr>
      <w:bookmarkStart w:colFirst="0" w:colLast="0" w:name="_46r0co2" w:id="15"/>
      <w:bookmarkEnd w:id="15"/>
      <w:r w:rsidDel="00000000" w:rsidR="00000000" w:rsidRPr="00000000">
        <w:rPr>
          <w:rtl w:val="0"/>
        </w:rPr>
        <w:t xml:space="preserve">2.5 THE BURDEN OF ORAL DISEASE IN AFRICA:</w:t>
      </w:r>
    </w:p>
    <w:p w:rsidR="00000000" w:rsidDel="00000000" w:rsidP="00000000" w:rsidRDefault="00000000" w:rsidRPr="00000000" w14:paraId="000000D2">
      <w:pPr>
        <w:spacing w:line="360" w:lineRule="auto"/>
        <w:rPr>
          <w:sz w:val="24"/>
          <w:szCs w:val="24"/>
        </w:rPr>
      </w:pPr>
      <w:r w:rsidDel="00000000" w:rsidR="00000000" w:rsidRPr="00000000">
        <w:rPr>
          <w:sz w:val="24"/>
          <w:szCs w:val="24"/>
          <w:rtl w:val="0"/>
        </w:rPr>
        <w:t xml:space="preserve">The distribution and severity of oral disease varies around the world. Whereas several high income countries have made progress in oral health, Africa, that mainly comprises Low and Middle Income Countries has not seen similar changes. The burden of oral disease in Africa is high, with over 400 Million people affected (WHO, 2022) and the burden is increasing (Naidoo et al, 2001, FDI 2011). The caries prevalence in the African Region is between 60 to 90% of the population (Petersen et al.,2005), whereas the prevalence of periodontal disease has increased from 60% 1990 to 78% in 2010 </w:t>
      </w:r>
      <w:r w:rsidDel="00000000" w:rsidR="00000000" w:rsidRPr="00000000">
        <w:rPr>
          <w:color w:val="000000"/>
          <w:sz w:val="24"/>
          <w:szCs w:val="24"/>
          <w:rtl w:val="0"/>
        </w:rPr>
        <w:t xml:space="preserve">(World Health Organisation Regional Office for Africa, 2016)</w:t>
      </w:r>
      <w:r w:rsidDel="00000000" w:rsidR="00000000" w:rsidRPr="00000000">
        <w:rPr>
          <w:sz w:val="24"/>
          <w:szCs w:val="24"/>
          <w:rtl w:val="0"/>
        </w:rPr>
        <w:t xml:space="preserve">. Africa suffers from a poor undeveloped public health system. The few oral health care workers trained work mostly in urban areas, in the private setting, making access difficult (Abid et.al., 2015).  These factors lead to 90% of oral diseases remaining untreated (Hosseinpoor et.al., 2012).  </w:t>
      </w:r>
    </w:p>
    <w:p w:rsidR="00000000" w:rsidDel="00000000" w:rsidP="00000000" w:rsidRDefault="00000000" w:rsidRPr="00000000" w14:paraId="000000D3">
      <w:pPr>
        <w:pStyle w:val="Heading4"/>
        <w:rPr>
          <w:rFonts w:ascii="Century Gothic" w:cs="Century Gothic" w:eastAsia="Century Gothic" w:hAnsi="Century Gothic"/>
        </w:rPr>
      </w:pPr>
      <w:bookmarkStart w:colFirst="0" w:colLast="0" w:name="_2lwamvv" w:id="16"/>
      <w:bookmarkEnd w:id="16"/>
      <w:r w:rsidDel="00000000" w:rsidR="00000000" w:rsidRPr="00000000">
        <w:rPr>
          <w:rFonts w:ascii="Century Gothic" w:cs="Century Gothic" w:eastAsia="Century Gothic" w:hAnsi="Century Gothic"/>
          <w:rtl w:val="0"/>
        </w:rPr>
        <w:t xml:space="preserve">2.5.1 REGIONAL POLICIES FOR ORAL HEALTH:</w:t>
      </w:r>
    </w:p>
    <w:p w:rsidR="00000000" w:rsidDel="00000000" w:rsidP="00000000" w:rsidRDefault="00000000" w:rsidRPr="00000000" w14:paraId="000000D4">
      <w:pPr>
        <w:spacing w:line="360" w:lineRule="auto"/>
        <w:rPr>
          <w:sz w:val="24"/>
          <w:szCs w:val="24"/>
        </w:rPr>
      </w:pPr>
      <w:r w:rsidDel="00000000" w:rsidR="00000000" w:rsidRPr="00000000">
        <w:rPr>
          <w:sz w:val="24"/>
          <w:szCs w:val="24"/>
          <w:rtl w:val="0"/>
        </w:rPr>
        <w:t xml:space="preserve">In the year 1998, the WHO regional committee for Africa adopted a 10 year Oral Health Plan for Africa (1999-2008) to improve community oral health. It set out five priority areas namely: development and implementation of national strategies; integration of oral health into health programmes; service delivery; a regional education and training approach; and development of an oral health management information system. To support this, a manual to guide African Nations to draft National Oral Health Policies was drafted in the year 2005. However, a survey conducted in the year 2011 showed that only 27 countries out of the 47 member states had an oral health strategic plan and only 14 had a dedicated national oral health budget </w:t>
      </w:r>
      <w:r w:rsidDel="00000000" w:rsidR="00000000" w:rsidRPr="00000000">
        <w:rPr>
          <w:color w:val="000000"/>
          <w:sz w:val="24"/>
          <w:szCs w:val="24"/>
          <w:rtl w:val="0"/>
        </w:rPr>
        <w:t xml:space="preserve">(World Health Organisation Regional Office for Africa, 2016)</w:t>
      </w:r>
      <w:r w:rsidDel="00000000" w:rsidR="00000000" w:rsidRPr="00000000">
        <w:rPr>
          <w:sz w:val="24"/>
          <w:szCs w:val="24"/>
          <w:rtl w:val="0"/>
        </w:rPr>
        <w:t xml:space="preserve">. Public health programs that focus on prevention and oral health promotion are rare in this region (Abid et.al., 2015). </w:t>
      </w:r>
    </w:p>
    <w:p w:rsidR="00000000" w:rsidDel="00000000" w:rsidP="00000000" w:rsidRDefault="00000000" w:rsidRPr="00000000" w14:paraId="000000D5">
      <w:pPr>
        <w:spacing w:line="360" w:lineRule="auto"/>
        <w:rPr>
          <w:sz w:val="24"/>
          <w:szCs w:val="24"/>
        </w:rPr>
      </w:pPr>
      <w:r w:rsidDel="00000000" w:rsidR="00000000" w:rsidRPr="00000000">
        <w:rPr>
          <w:rtl w:val="0"/>
        </w:rPr>
      </w:r>
    </w:p>
    <w:p w:rsidR="00000000" w:rsidDel="00000000" w:rsidP="00000000" w:rsidRDefault="00000000" w:rsidRPr="00000000" w14:paraId="000000D6">
      <w:pPr>
        <w:pStyle w:val="Heading4"/>
        <w:rPr>
          <w:rFonts w:ascii="Century Gothic" w:cs="Century Gothic" w:eastAsia="Century Gothic" w:hAnsi="Century Gothic"/>
        </w:rPr>
      </w:pPr>
      <w:bookmarkStart w:colFirst="0" w:colLast="0" w:name="_111kx3o" w:id="17"/>
      <w:bookmarkEnd w:id="17"/>
      <w:r w:rsidDel="00000000" w:rsidR="00000000" w:rsidRPr="00000000">
        <w:rPr>
          <w:rFonts w:ascii="Century Gothic" w:cs="Century Gothic" w:eastAsia="Century Gothic" w:hAnsi="Century Gothic"/>
          <w:rtl w:val="0"/>
        </w:rPr>
        <w:t xml:space="preserve">2.5.2 KENYA AND SOUTH AFRICA</w:t>
      </w:r>
    </w:p>
    <w:p w:rsidR="00000000" w:rsidDel="00000000" w:rsidP="00000000" w:rsidRDefault="00000000" w:rsidRPr="00000000" w14:paraId="000000D7">
      <w:pPr>
        <w:spacing w:line="360" w:lineRule="auto"/>
        <w:rPr>
          <w:sz w:val="24"/>
          <w:szCs w:val="24"/>
        </w:rPr>
      </w:pPr>
      <w:r w:rsidDel="00000000" w:rsidR="00000000" w:rsidRPr="00000000">
        <w:rPr>
          <w:sz w:val="24"/>
          <w:szCs w:val="24"/>
          <w:rtl w:val="0"/>
        </w:rPr>
        <w:t xml:space="preserve">Kenya, is a lower Middle Income Country. In the year 2013, Kenya’s health sector was devolved to 47 counties. The oral health sector in Kenya is therefore managed at the National Level, and at County Level. Oral healthcare is provided by both the public and private sector. Access to oral health care is difficult, with the public sector being underfunded and under equipped </w:t>
      </w:r>
      <w:r w:rsidDel="00000000" w:rsidR="00000000" w:rsidRPr="00000000">
        <w:rPr>
          <w:color w:val="000000"/>
          <w:sz w:val="24"/>
          <w:szCs w:val="24"/>
          <w:rtl w:val="0"/>
        </w:rPr>
        <w:t xml:space="preserve">(Ministry of Health, 2015)</w:t>
      </w:r>
      <w:r w:rsidDel="00000000" w:rsidR="00000000" w:rsidRPr="00000000">
        <w:rPr>
          <w:sz w:val="24"/>
          <w:szCs w:val="24"/>
          <w:rtl w:val="0"/>
        </w:rPr>
        <w:t xml:space="preserve"> . As of 2018, Kenya had only 1288 dentists, which translates to a dentist to population ratio of 1: 40,000 against 1:2000 in industrialised countries (Ahluwalia et.al.,2018) . The distribution of dentists is uneven, with more dentists in the urban areas, leaving rural populations underserved </w:t>
      </w:r>
      <w:r w:rsidDel="00000000" w:rsidR="00000000" w:rsidRPr="00000000">
        <w:rPr>
          <w:color w:val="000000"/>
          <w:sz w:val="24"/>
          <w:szCs w:val="24"/>
          <w:rtl w:val="0"/>
        </w:rPr>
        <w:t xml:space="preserve">(Ministry of Health-Kenya, 2022)</w:t>
      </w:r>
      <w:r w:rsidDel="00000000" w:rsidR="00000000" w:rsidRPr="00000000">
        <w:rPr>
          <w:sz w:val="24"/>
          <w:szCs w:val="24"/>
          <w:rtl w:val="0"/>
        </w:rPr>
        <w:t xml:space="preserve">. 80% of the dentists practice privately in urban areas, which house less than 20% of the population (Ministry of Health, 2015). </w:t>
      </w:r>
    </w:p>
    <w:p w:rsidR="00000000" w:rsidDel="00000000" w:rsidP="00000000" w:rsidRDefault="00000000" w:rsidRPr="00000000" w14:paraId="000000D8">
      <w:pPr>
        <w:spacing w:line="360" w:lineRule="auto"/>
        <w:rPr>
          <w:sz w:val="24"/>
          <w:szCs w:val="24"/>
        </w:rPr>
      </w:pPr>
      <w:r w:rsidDel="00000000" w:rsidR="00000000" w:rsidRPr="00000000">
        <w:rPr>
          <w:sz w:val="24"/>
          <w:szCs w:val="24"/>
          <w:rtl w:val="0"/>
        </w:rPr>
        <w:t xml:space="preserve">There has been little investment in oral health promotion and implementation of policies aimed at combating the risk factors of oral diseases and other NCDs. Kenya’s first National Policy was launched in the year 2002, but implementation remains unclear. The second Oral Health Policy was recently launched in the year 2022, along with the country’s first Oral Health Strategic Plan </w:t>
      </w:r>
      <w:r w:rsidDel="00000000" w:rsidR="00000000" w:rsidRPr="00000000">
        <w:rPr>
          <w:color w:val="000000"/>
          <w:sz w:val="24"/>
          <w:szCs w:val="24"/>
          <w:rtl w:val="0"/>
        </w:rPr>
        <w:t xml:space="preserve">(Ministry of Health-Kenya, 2022)</w:t>
      </w:r>
      <w:r w:rsidDel="00000000" w:rsidR="00000000" w:rsidRPr="00000000">
        <w:rPr>
          <w:sz w:val="24"/>
          <w:szCs w:val="24"/>
          <w:rtl w:val="0"/>
        </w:rPr>
        <w:t xml:space="preserve">. The five year Strategic Plan will guide the implementation of the policy aimed at improving the oral health status of Kenyans. There is minimal information available on the implementation of the first oral health strategy plan of Kenya, and little research available on the political priority of oral health in Kenya. Due to the high prevalence of dental issues in Kenya, the state of the public health sector and the lack of implementation of oral health policies, it is imperative that the prioritisation of dental health in Kenya be investigated.</w:t>
      </w:r>
    </w:p>
    <w:p w:rsidR="00000000" w:rsidDel="00000000" w:rsidP="00000000" w:rsidRDefault="00000000" w:rsidRPr="00000000" w14:paraId="000000D9">
      <w:pPr>
        <w:spacing w:line="360" w:lineRule="auto"/>
        <w:rPr>
          <w:sz w:val="24"/>
          <w:szCs w:val="24"/>
        </w:rPr>
      </w:pPr>
      <w:r w:rsidDel="00000000" w:rsidR="00000000" w:rsidRPr="00000000">
        <w:rPr>
          <w:sz w:val="24"/>
          <w:szCs w:val="24"/>
          <w:rtl w:val="0"/>
        </w:rPr>
        <w:t xml:space="preserve">South Africa, is an upper middle income country. The South African health system is divided into the public and private sector. Access to dental care is limited, with a shortage of dentists </w:t>
      </w:r>
      <w:r w:rsidDel="00000000" w:rsidR="00000000" w:rsidRPr="00000000">
        <w:rPr>
          <w:color w:val="000000"/>
          <w:sz w:val="24"/>
          <w:szCs w:val="24"/>
          <w:rtl w:val="0"/>
        </w:rPr>
        <w:t xml:space="preserve">(Tiwarii et al., 2021)</w:t>
      </w:r>
      <w:r w:rsidDel="00000000" w:rsidR="00000000" w:rsidRPr="00000000">
        <w:rPr>
          <w:sz w:val="24"/>
          <w:szCs w:val="24"/>
          <w:rtl w:val="0"/>
        </w:rPr>
        <w:t xml:space="preserve">. In addition, more than 80% of the South African population relies on public dental service but less than a quarter of dentists in the country work in the public sector </w:t>
      </w:r>
      <w:r w:rsidDel="00000000" w:rsidR="00000000" w:rsidRPr="00000000">
        <w:rPr>
          <w:color w:val="000000"/>
          <w:sz w:val="24"/>
          <w:szCs w:val="24"/>
          <w:rtl w:val="0"/>
        </w:rPr>
        <w:t xml:space="preserve">(Tiwarii et al., 2021)</w:t>
      </w:r>
      <w:r w:rsidDel="00000000" w:rsidR="00000000" w:rsidRPr="00000000">
        <w:rPr>
          <w:sz w:val="24"/>
          <w:szCs w:val="24"/>
          <w:rtl w:val="0"/>
        </w:rPr>
        <w:t xml:space="preserve">. According to the Health Professions Council of South Africa’s 2018/2019 report, there are a total  6374 dentists, serving a population of 59.6 Million, which translates to a dentist to population ratio of 1:9350. The National Policy for Oral Health (NPOH) in South Africa aimed to promote the oral health of Africa by preventing and restricting oral diseases in Africa to ensure optimal health (citation). This policy was developed based on the National Health Policy and  sought to achieve specific oral health goals in different age groups in the South African population in addition to prioritizing oral health service provision. </w:t>
      </w:r>
    </w:p>
    <w:p w:rsidR="00000000" w:rsidDel="00000000" w:rsidP="00000000" w:rsidRDefault="00000000" w:rsidRPr="00000000" w14:paraId="000000DA">
      <w:pPr>
        <w:spacing w:line="360" w:lineRule="auto"/>
        <w:rPr>
          <w:sz w:val="24"/>
          <w:szCs w:val="24"/>
        </w:rPr>
      </w:pPr>
      <w:r w:rsidDel="00000000" w:rsidR="00000000" w:rsidRPr="00000000">
        <w:rPr>
          <w:sz w:val="24"/>
          <w:szCs w:val="24"/>
          <w:rtl w:val="0"/>
        </w:rPr>
        <w:t xml:space="preserve">A review of the NPOH found that there was no monitoring or evaluation plan of the goals stated as well as lack of guidelines that outlined the implementation of the policy (Mukhari-Baloyi et al., 2021). The goals to be realized by 2000 were either not achieved or lacked a follow up evaluation plan to determine success (Mukhari-Baloyi et al., 2021). For example, the first objective was to realise a dental carry free population under 5 years old of more than 50% by 2000. By the year 2000, only 30% of the under 5 age group was caries free (van Wyk and van Wyk, 2004). Despite a solid framework for the South African NPOH, there lacks current information on its implementation as well as policy reviews. It is unclear as to why there is poor implementation and goal realization and it is in the interest of this study to assess the level of prioritisation of oral health as well as reasons for neglect.  </w:t>
      </w:r>
    </w:p>
    <w:p w:rsidR="00000000" w:rsidDel="00000000" w:rsidP="00000000" w:rsidRDefault="00000000" w:rsidRPr="00000000" w14:paraId="000000DB">
      <w:pPr>
        <w:pStyle w:val="Heading2"/>
        <w:spacing w:line="360" w:lineRule="auto"/>
        <w:rPr/>
      </w:pPr>
      <w:bookmarkStart w:colFirst="0" w:colLast="0" w:name="_3l18frh" w:id="18"/>
      <w:bookmarkEnd w:id="18"/>
      <w:r w:rsidDel="00000000" w:rsidR="00000000" w:rsidRPr="00000000">
        <w:rPr>
          <w:rtl w:val="0"/>
        </w:rPr>
        <w:t xml:space="preserve">2.6 Empirical Literature</w:t>
      </w:r>
    </w:p>
    <w:p w:rsidR="00000000" w:rsidDel="00000000" w:rsidP="00000000" w:rsidRDefault="00000000" w:rsidRPr="00000000" w14:paraId="000000DC">
      <w:pPr>
        <w:spacing w:line="360" w:lineRule="auto"/>
        <w:rPr>
          <w:sz w:val="24"/>
          <w:szCs w:val="24"/>
        </w:rPr>
      </w:pPr>
      <w:r w:rsidDel="00000000" w:rsidR="00000000" w:rsidRPr="00000000">
        <w:rPr>
          <w:sz w:val="24"/>
          <w:szCs w:val="24"/>
          <w:rtl w:val="0"/>
        </w:rPr>
        <w:t xml:space="preserve">The Shiffman and Smith framework for the generation of political priority for global health initiatives (Shiffman 2007) divides political priority into four categories that determine support generated for global health initiatives. These are: ideas, issue characteristics, actor power and political context. Benzian et al. modified the framework to include 11 factors within these characteristics that further contextualized the level of priority within an issue. These are illustrated in the table below.</w:t>
      </w:r>
    </w:p>
    <w:p w:rsidR="00000000" w:rsidDel="00000000" w:rsidP="00000000" w:rsidRDefault="00000000" w:rsidRPr="00000000" w14:paraId="000000DD">
      <w:pPr>
        <w:spacing w:line="360" w:lineRule="auto"/>
        <w:rPr>
          <w:sz w:val="24"/>
          <w:szCs w:val="24"/>
        </w:rPr>
      </w:pPr>
      <w:r w:rsidDel="00000000" w:rsidR="00000000" w:rsidRPr="00000000">
        <w:rPr>
          <w:rtl w:val="0"/>
        </w:rPr>
      </w:r>
    </w:p>
    <w:p w:rsidR="00000000" w:rsidDel="00000000" w:rsidP="00000000" w:rsidRDefault="00000000" w:rsidRPr="00000000" w14:paraId="000000DE">
      <w:pPr>
        <w:spacing w:line="360" w:lineRule="auto"/>
        <w:rPr>
          <w:sz w:val="24"/>
          <w:szCs w:val="24"/>
        </w:rPr>
      </w:pPr>
      <w:r w:rsidDel="00000000" w:rsidR="00000000" w:rsidRPr="00000000">
        <w:rPr>
          <w:rtl w:val="0"/>
        </w:rPr>
      </w:r>
    </w:p>
    <w:p w:rsidR="00000000" w:rsidDel="00000000" w:rsidP="00000000" w:rsidRDefault="00000000" w:rsidRPr="00000000" w14:paraId="000000DF">
      <w:pPr>
        <w:spacing w:line="360" w:lineRule="auto"/>
        <w:rPr>
          <w:sz w:val="24"/>
          <w:szCs w:val="24"/>
        </w:rPr>
      </w:pPr>
      <w:r w:rsidDel="00000000" w:rsidR="00000000" w:rsidRPr="00000000">
        <w:rPr>
          <w:rtl w:val="0"/>
        </w:rPr>
      </w:r>
    </w:p>
    <w:p w:rsidR="00000000" w:rsidDel="00000000" w:rsidP="00000000" w:rsidRDefault="00000000" w:rsidRPr="00000000" w14:paraId="000000E0">
      <w:pPr>
        <w:spacing w:after="0" w:line="360" w:lineRule="auto"/>
        <w:rPr>
          <w:sz w:val="24"/>
          <w:szCs w:val="24"/>
        </w:rPr>
      </w:pPr>
      <w:r w:rsidDel="00000000" w:rsidR="00000000" w:rsidRPr="00000000">
        <w:rPr>
          <w:sz w:val="24"/>
          <w:szCs w:val="24"/>
          <w:rtl w:val="0"/>
        </w:rPr>
        <w:t xml:space="preserve">Table 1: modified framework for analysis of factors shaping political priority </w:t>
      </w:r>
    </w:p>
    <w:tbl>
      <w:tblPr>
        <w:tblStyle w:val="Table1"/>
        <w:tblW w:w="10890.0" w:type="dxa"/>
        <w:jc w:val="left"/>
        <w:tblInd w:w="-57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75"/>
        <w:gridCol w:w="8415"/>
        <w:tblGridChange w:id="0">
          <w:tblGrid>
            <w:gridCol w:w="2475"/>
            <w:gridCol w:w="841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E1">
            <w:pPr>
              <w:spacing w:after="0" w:lineRule="auto"/>
              <w:rPr/>
            </w:pPr>
            <w:r w:rsidDel="00000000" w:rsidR="00000000" w:rsidRPr="00000000">
              <w:rPr>
                <w:rtl w:val="0"/>
              </w:rPr>
              <w:t xml:space="preserve">Analysis category</w:t>
            </w:r>
          </w:p>
        </w:tc>
        <w:tc>
          <w:tcPr>
            <w:shd w:fill="auto" w:val="clear"/>
            <w:tcMar>
              <w:top w:w="100.0" w:type="dxa"/>
              <w:left w:w="100.0" w:type="dxa"/>
              <w:bottom w:w="100.0" w:type="dxa"/>
              <w:right w:w="100.0" w:type="dxa"/>
            </w:tcMar>
          </w:tcPr>
          <w:p w:rsidR="00000000" w:rsidDel="00000000" w:rsidP="00000000" w:rsidRDefault="00000000" w:rsidRPr="00000000" w14:paraId="000000E2">
            <w:pPr>
              <w:spacing w:after="0" w:lineRule="auto"/>
              <w:rPr/>
            </w:pPr>
            <w:r w:rsidDel="00000000" w:rsidR="00000000" w:rsidRPr="00000000">
              <w:rPr>
                <w:rtl w:val="0"/>
              </w:rPr>
              <w:t xml:space="preserve">Factors shaping political priority</w:t>
            </w:r>
          </w:p>
        </w:tc>
      </w:tr>
      <w:tr>
        <w:trPr>
          <w:cantSplit w:val="0"/>
          <w:trHeight w:val="1912"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E3">
            <w:pPr>
              <w:rPr>
                <w:i w:val="1"/>
              </w:rPr>
            </w:pPr>
            <w:r w:rsidDel="00000000" w:rsidR="00000000" w:rsidRPr="00000000">
              <w:rPr>
                <w:i w:val="1"/>
                <w:rtl w:val="0"/>
              </w:rPr>
              <w:t xml:space="preserve"> Ideas: </w:t>
            </w:r>
          </w:p>
          <w:p w:rsidR="00000000" w:rsidDel="00000000" w:rsidP="00000000" w:rsidRDefault="00000000" w:rsidRPr="00000000" w14:paraId="000000E4">
            <w:pPr>
              <w:rPr/>
            </w:pPr>
            <w:r w:rsidDel="00000000" w:rsidR="00000000" w:rsidRPr="00000000">
              <w:rPr>
                <w:rtl w:val="0"/>
              </w:rPr>
              <w:t xml:space="preserve">The ways in which those involved with the issue understand and portray it</w:t>
            </w:r>
          </w:p>
        </w:tc>
        <w:tc>
          <w:tcPr>
            <w:shd w:fill="auto" w:val="clear"/>
            <w:tcMar>
              <w:top w:w="100.0" w:type="dxa"/>
              <w:left w:w="100.0" w:type="dxa"/>
              <w:bottom w:w="100.0" w:type="dxa"/>
              <w:right w:w="100.0" w:type="dxa"/>
            </w:tcMar>
          </w:tcPr>
          <w:p w:rsidR="00000000" w:rsidDel="00000000" w:rsidP="00000000" w:rsidRDefault="00000000" w:rsidRPr="00000000" w14:paraId="000000E5">
            <w:pPr>
              <w:rPr/>
            </w:pPr>
            <w:r w:rsidDel="00000000" w:rsidR="00000000" w:rsidRPr="00000000">
              <w:rPr>
                <w:i w:val="1"/>
                <w:rtl w:val="0"/>
              </w:rPr>
              <w:t xml:space="preserve">1.Internal frame: </w:t>
            </w:r>
            <w:r w:rsidDel="00000000" w:rsidR="00000000" w:rsidRPr="00000000">
              <w:rPr>
                <w:rtl w:val="0"/>
              </w:rPr>
              <w:t xml:space="preserve">the degree to which the policy community agrees on the definition of causes and solutions to the problem  </w:t>
            </w:r>
          </w:p>
          <w:p w:rsidR="00000000" w:rsidDel="00000000" w:rsidP="00000000" w:rsidRDefault="00000000" w:rsidRPr="00000000" w14:paraId="000000E6">
            <w:pPr>
              <w:rPr/>
            </w:pPr>
            <w:r w:rsidDel="00000000" w:rsidR="00000000" w:rsidRPr="00000000">
              <w:rPr>
                <w:i w:val="1"/>
                <w:rtl w:val="0"/>
              </w:rPr>
              <w:t xml:space="preserve">2. External frame:</w:t>
            </w:r>
            <w:r w:rsidDel="00000000" w:rsidR="00000000" w:rsidRPr="00000000">
              <w:rPr>
                <w:rtl w:val="0"/>
              </w:rPr>
              <w:t xml:space="preserve"> public portrayals of the issue in ways that resonate with external audiences, especially the political leaders that control resources</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E7">
            <w:pPr>
              <w:rPr>
                <w:i w:val="1"/>
              </w:rPr>
            </w:pPr>
            <w:r w:rsidDel="00000000" w:rsidR="00000000" w:rsidRPr="00000000">
              <w:rPr>
                <w:i w:val="1"/>
                <w:rtl w:val="0"/>
              </w:rPr>
              <w:t xml:space="preserve">Issue characteristics: </w:t>
            </w:r>
          </w:p>
          <w:p w:rsidR="00000000" w:rsidDel="00000000" w:rsidP="00000000" w:rsidRDefault="00000000" w:rsidRPr="00000000" w14:paraId="000000E8">
            <w:pPr>
              <w:rPr/>
            </w:pPr>
            <w:r w:rsidDel="00000000" w:rsidR="00000000" w:rsidRPr="00000000">
              <w:rPr>
                <w:rtl w:val="0"/>
              </w:rPr>
              <w:t xml:space="preserve">Features of the problem </w:t>
            </w:r>
          </w:p>
        </w:tc>
        <w:tc>
          <w:tcPr>
            <w:shd w:fill="auto" w:val="clear"/>
            <w:tcMar>
              <w:top w:w="100.0" w:type="dxa"/>
              <w:left w:w="100.0" w:type="dxa"/>
              <w:bottom w:w="100.0" w:type="dxa"/>
              <w:right w:w="100.0" w:type="dxa"/>
            </w:tcMar>
          </w:tcPr>
          <w:p w:rsidR="00000000" w:rsidDel="00000000" w:rsidP="00000000" w:rsidRDefault="00000000" w:rsidRPr="00000000" w14:paraId="000000E9">
            <w:pPr>
              <w:rPr/>
            </w:pPr>
            <w:r w:rsidDel="00000000" w:rsidR="00000000" w:rsidRPr="00000000">
              <w:rPr>
                <w:i w:val="1"/>
                <w:rtl w:val="0"/>
              </w:rPr>
              <w:t xml:space="preserve">3.Credible indicators:</w:t>
            </w:r>
            <w:r w:rsidDel="00000000" w:rsidR="00000000" w:rsidRPr="00000000">
              <w:rPr>
                <w:rtl w:val="0"/>
              </w:rPr>
              <w:t xml:space="preserve"> clear measures that show the severity of the problem and that can be used to monitor progress </w:t>
            </w:r>
          </w:p>
          <w:p w:rsidR="00000000" w:rsidDel="00000000" w:rsidP="00000000" w:rsidRDefault="00000000" w:rsidRPr="00000000" w14:paraId="000000EA">
            <w:pPr>
              <w:rPr/>
            </w:pPr>
            <w:r w:rsidDel="00000000" w:rsidR="00000000" w:rsidRPr="00000000">
              <w:rPr>
                <w:i w:val="1"/>
                <w:rtl w:val="0"/>
              </w:rPr>
              <w:t xml:space="preserve">4. Severity:</w:t>
            </w:r>
            <w:r w:rsidDel="00000000" w:rsidR="00000000" w:rsidRPr="00000000">
              <w:rPr>
                <w:rtl w:val="0"/>
              </w:rPr>
              <w:t xml:space="preserve"> the size of the burden relative to other problems, as indicated by objective measurement such as mortality and morbidity levels </w:t>
            </w:r>
          </w:p>
          <w:p w:rsidR="00000000" w:rsidDel="00000000" w:rsidP="00000000" w:rsidRDefault="00000000" w:rsidRPr="00000000" w14:paraId="000000EB">
            <w:pPr>
              <w:rPr/>
            </w:pPr>
            <w:r w:rsidDel="00000000" w:rsidR="00000000" w:rsidRPr="00000000">
              <w:rPr>
                <w:i w:val="1"/>
                <w:rtl w:val="0"/>
              </w:rPr>
              <w:t xml:space="preserve">5.Effective interventions:</w:t>
            </w:r>
            <w:r w:rsidDel="00000000" w:rsidR="00000000" w:rsidRPr="00000000">
              <w:rPr>
                <w:rtl w:val="0"/>
              </w:rPr>
              <w:t xml:space="preserve"> the extent to which proposed means of addressing the problem are clearly explained, cost-effective, backed by scientific evidence, simple to implement and inexpensive </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EC">
            <w:pPr>
              <w:rPr>
                <w:i w:val="1"/>
              </w:rPr>
            </w:pPr>
            <w:r w:rsidDel="00000000" w:rsidR="00000000" w:rsidRPr="00000000">
              <w:rPr>
                <w:i w:val="1"/>
                <w:rtl w:val="0"/>
              </w:rPr>
              <w:t xml:space="preserve">Actor power: </w:t>
            </w:r>
          </w:p>
          <w:p w:rsidR="00000000" w:rsidDel="00000000" w:rsidP="00000000" w:rsidRDefault="00000000" w:rsidRPr="00000000" w14:paraId="000000ED">
            <w:pPr>
              <w:jc w:val="left"/>
              <w:rPr/>
            </w:pPr>
            <w:r w:rsidDel="00000000" w:rsidR="00000000" w:rsidRPr="00000000">
              <w:rPr>
                <w:rtl w:val="0"/>
              </w:rPr>
              <w:t xml:space="preserve">Strength of the individuals and organizations concerned with the issue </w:t>
            </w:r>
          </w:p>
        </w:tc>
        <w:tc>
          <w:tcPr>
            <w:shd w:fill="auto" w:val="clear"/>
            <w:tcMar>
              <w:top w:w="100.0" w:type="dxa"/>
              <w:left w:w="100.0" w:type="dxa"/>
              <w:bottom w:w="100.0" w:type="dxa"/>
              <w:right w:w="100.0" w:type="dxa"/>
            </w:tcMar>
          </w:tcPr>
          <w:p w:rsidR="00000000" w:rsidDel="00000000" w:rsidP="00000000" w:rsidRDefault="00000000" w:rsidRPr="00000000" w14:paraId="000000EE">
            <w:pPr>
              <w:rPr/>
            </w:pPr>
            <w:r w:rsidDel="00000000" w:rsidR="00000000" w:rsidRPr="00000000">
              <w:rPr>
                <w:i w:val="1"/>
                <w:rtl w:val="0"/>
              </w:rPr>
              <w:t xml:space="preserve">6. Guiding institutions:</w:t>
            </w:r>
            <w:r w:rsidDel="00000000" w:rsidR="00000000" w:rsidRPr="00000000">
              <w:rPr>
                <w:rtl w:val="0"/>
              </w:rPr>
              <w:t xml:space="preserve"> the effectiveness of organizations or coordinating mechanisms with a mandate to lead the initiative</w:t>
            </w:r>
          </w:p>
          <w:p w:rsidR="00000000" w:rsidDel="00000000" w:rsidP="00000000" w:rsidRDefault="00000000" w:rsidRPr="00000000" w14:paraId="000000EF">
            <w:pPr>
              <w:rPr/>
            </w:pPr>
            <w:r w:rsidDel="00000000" w:rsidR="00000000" w:rsidRPr="00000000">
              <w:rPr>
                <w:i w:val="1"/>
                <w:rtl w:val="0"/>
              </w:rPr>
              <w:t xml:space="preserve">7. Policy community cohesion:</w:t>
            </w:r>
            <w:r w:rsidDel="00000000" w:rsidR="00000000" w:rsidRPr="00000000">
              <w:rPr>
                <w:rtl w:val="0"/>
              </w:rPr>
              <w:t xml:space="preserve"> the degree of coalescence among the network of individuals and institutions centrally involved with the issue at the global level </w:t>
            </w:r>
          </w:p>
          <w:p w:rsidR="00000000" w:rsidDel="00000000" w:rsidP="00000000" w:rsidRDefault="00000000" w:rsidRPr="00000000" w14:paraId="000000F0">
            <w:pPr>
              <w:rPr/>
            </w:pPr>
            <w:r w:rsidDel="00000000" w:rsidR="00000000" w:rsidRPr="00000000">
              <w:rPr>
                <w:i w:val="1"/>
                <w:rtl w:val="0"/>
              </w:rPr>
              <w:t xml:space="preserve">8. Leadership:</w:t>
            </w:r>
            <w:r w:rsidDel="00000000" w:rsidR="00000000" w:rsidRPr="00000000">
              <w:rPr>
                <w:rtl w:val="0"/>
              </w:rPr>
              <w:t xml:space="preserve"> the presence of individuals capable of uniting the policy community and acknowledged as particularly strong leaders for the cause </w:t>
            </w:r>
          </w:p>
          <w:p w:rsidR="00000000" w:rsidDel="00000000" w:rsidP="00000000" w:rsidRDefault="00000000" w:rsidRPr="00000000" w14:paraId="000000F1">
            <w:pPr>
              <w:rPr/>
            </w:pPr>
            <w:r w:rsidDel="00000000" w:rsidR="00000000" w:rsidRPr="00000000">
              <w:rPr>
                <w:i w:val="1"/>
                <w:rtl w:val="0"/>
              </w:rPr>
              <w:t xml:space="preserve">9. Civil societies mobilization:</w:t>
            </w:r>
            <w:r w:rsidDel="00000000" w:rsidR="00000000" w:rsidRPr="00000000">
              <w:rPr>
                <w:rtl w:val="0"/>
              </w:rPr>
              <w:t xml:space="preserve"> the extent to which grassroots organizations have mobilized to press international and national political authorities to address the issue at the global level</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F2">
            <w:pPr>
              <w:rPr>
                <w:i w:val="1"/>
              </w:rPr>
            </w:pPr>
            <w:r w:rsidDel="00000000" w:rsidR="00000000" w:rsidRPr="00000000">
              <w:rPr>
                <w:i w:val="1"/>
                <w:rtl w:val="0"/>
              </w:rPr>
              <w:t xml:space="preserve">Political contexts: </w:t>
            </w:r>
          </w:p>
          <w:p w:rsidR="00000000" w:rsidDel="00000000" w:rsidP="00000000" w:rsidRDefault="00000000" w:rsidRPr="00000000" w14:paraId="000000F3">
            <w:pPr>
              <w:rPr/>
            </w:pPr>
            <w:r w:rsidDel="00000000" w:rsidR="00000000" w:rsidRPr="00000000">
              <w:rPr>
                <w:rtl w:val="0"/>
              </w:rPr>
              <w:t xml:space="preserve">The environments in which actors operate</w:t>
            </w:r>
          </w:p>
        </w:tc>
        <w:tc>
          <w:tcPr>
            <w:shd w:fill="auto" w:val="clear"/>
            <w:tcMar>
              <w:top w:w="100.0" w:type="dxa"/>
              <w:left w:w="100.0" w:type="dxa"/>
              <w:bottom w:w="100.0" w:type="dxa"/>
              <w:right w:w="100.0" w:type="dxa"/>
            </w:tcMar>
          </w:tcPr>
          <w:p w:rsidR="00000000" w:rsidDel="00000000" w:rsidP="00000000" w:rsidRDefault="00000000" w:rsidRPr="00000000" w14:paraId="000000F4">
            <w:pPr>
              <w:rPr/>
            </w:pPr>
            <w:r w:rsidDel="00000000" w:rsidR="00000000" w:rsidRPr="00000000">
              <w:rPr>
                <w:i w:val="1"/>
                <w:rtl w:val="0"/>
              </w:rPr>
              <w:t xml:space="preserve">10.Policy windows:</w:t>
            </w:r>
            <w:r w:rsidDel="00000000" w:rsidR="00000000" w:rsidRPr="00000000">
              <w:rPr>
                <w:rtl w:val="0"/>
              </w:rPr>
              <w:t xml:space="preserve"> political moments when global conditions align favorably for an issue, presenting opportunities for advocates to influence decision makers </w:t>
            </w:r>
          </w:p>
          <w:p w:rsidR="00000000" w:rsidDel="00000000" w:rsidP="00000000" w:rsidRDefault="00000000" w:rsidRPr="00000000" w14:paraId="000000F5">
            <w:pPr>
              <w:rPr/>
            </w:pPr>
            <w:r w:rsidDel="00000000" w:rsidR="00000000" w:rsidRPr="00000000">
              <w:rPr>
                <w:i w:val="1"/>
                <w:rtl w:val="0"/>
              </w:rPr>
              <w:t xml:space="preserve">11. Global governance structure:</w:t>
            </w:r>
            <w:r w:rsidDel="00000000" w:rsidR="00000000" w:rsidRPr="00000000">
              <w:rPr>
                <w:rtl w:val="0"/>
              </w:rPr>
              <w:t xml:space="preserve"> the degree to which norms and institutions operating in a sector provide a platform for effective action</w:t>
            </w:r>
          </w:p>
          <w:p w:rsidR="00000000" w:rsidDel="00000000" w:rsidP="00000000" w:rsidRDefault="00000000" w:rsidRPr="00000000" w14:paraId="000000F6">
            <w:pPr>
              <w:widowControl w:val="0"/>
              <w:pBdr>
                <w:top w:space="0" w:sz="0" w:val="nil"/>
                <w:left w:space="0" w:sz="0" w:val="nil"/>
                <w:bottom w:space="0" w:sz="0" w:val="nil"/>
                <w:right w:space="0" w:sz="0" w:val="nil"/>
                <w:between w:space="0" w:sz="0" w:val="nil"/>
              </w:pBdr>
              <w:spacing w:after="0" w:lineRule="auto"/>
              <w:jc w:val="left"/>
              <w:rPr/>
            </w:pPr>
            <w:r w:rsidDel="00000000" w:rsidR="00000000" w:rsidRPr="00000000">
              <w:rPr>
                <w:rtl w:val="0"/>
              </w:rPr>
            </w:r>
          </w:p>
        </w:tc>
      </w:tr>
    </w:tbl>
    <w:p w:rsidR="00000000" w:rsidDel="00000000" w:rsidP="00000000" w:rsidRDefault="00000000" w:rsidRPr="00000000" w14:paraId="000000F7">
      <w:pPr>
        <w:spacing w:line="360" w:lineRule="auto"/>
        <w:rPr>
          <w:sz w:val="24"/>
          <w:szCs w:val="24"/>
        </w:rPr>
      </w:pPr>
      <w:r w:rsidDel="00000000" w:rsidR="00000000" w:rsidRPr="00000000">
        <w:rPr>
          <w:rtl w:val="0"/>
        </w:rPr>
      </w:r>
    </w:p>
    <w:p w:rsidR="00000000" w:rsidDel="00000000" w:rsidP="00000000" w:rsidRDefault="00000000" w:rsidRPr="00000000" w14:paraId="000000F8">
      <w:pPr>
        <w:spacing w:line="360" w:lineRule="auto"/>
        <w:rPr>
          <w:sz w:val="24"/>
          <w:szCs w:val="24"/>
        </w:rPr>
      </w:pPr>
      <w:r w:rsidDel="00000000" w:rsidR="00000000" w:rsidRPr="00000000">
        <w:rPr>
          <w:sz w:val="24"/>
          <w:szCs w:val="24"/>
          <w:rtl w:val="0"/>
        </w:rPr>
        <w:t xml:space="preserve">Consequently, studies have been carried out assessing the level of political prioritization of oral health in India and Italy using this framework by Benzian et al. in India, it was found that a key hindrance to the prioritization of oral health was the underestimation of the burden of disease by the public, health practitioners and policy makers (Janakiram et al., 2018). This factor fell under the </w:t>
      </w:r>
      <w:r w:rsidDel="00000000" w:rsidR="00000000" w:rsidRPr="00000000">
        <w:rPr>
          <w:i w:val="1"/>
          <w:sz w:val="24"/>
          <w:szCs w:val="24"/>
          <w:rtl w:val="0"/>
        </w:rPr>
        <w:t xml:space="preserve">power of ideas</w:t>
      </w:r>
      <w:r w:rsidDel="00000000" w:rsidR="00000000" w:rsidRPr="00000000">
        <w:rPr>
          <w:sz w:val="24"/>
          <w:szCs w:val="24"/>
          <w:rtl w:val="0"/>
        </w:rPr>
        <w:t xml:space="preserve"> category of Shiffman and Smith’s framework. In addition, falling under the </w:t>
      </w:r>
      <w:r w:rsidDel="00000000" w:rsidR="00000000" w:rsidRPr="00000000">
        <w:rPr>
          <w:i w:val="1"/>
          <w:sz w:val="24"/>
          <w:szCs w:val="24"/>
          <w:rtl w:val="0"/>
        </w:rPr>
        <w:t xml:space="preserve">power of actors’</w:t>
      </w:r>
      <w:r w:rsidDel="00000000" w:rsidR="00000000" w:rsidRPr="00000000">
        <w:rPr>
          <w:sz w:val="24"/>
          <w:szCs w:val="24"/>
          <w:rtl w:val="0"/>
        </w:rPr>
        <w:t xml:space="preserve"> category, it was seen that there was little investment by medical practitioners to prioritize the political support of oral health in the nation (Janakiram et al., 2018). The power of </w:t>
      </w:r>
      <w:r w:rsidDel="00000000" w:rsidR="00000000" w:rsidRPr="00000000">
        <w:rPr>
          <w:i w:val="1"/>
          <w:sz w:val="24"/>
          <w:szCs w:val="24"/>
          <w:rtl w:val="0"/>
        </w:rPr>
        <w:t xml:space="preserve">political contexts </w:t>
      </w:r>
      <w:r w:rsidDel="00000000" w:rsidR="00000000" w:rsidRPr="00000000">
        <w:rPr>
          <w:sz w:val="24"/>
          <w:szCs w:val="24"/>
          <w:rtl w:val="0"/>
        </w:rPr>
        <w:t xml:space="preserve">showed that agenda setting and policy making was highly dependent on the interests of the leaders in power which was subject to change based on the interests of the leaders involved (Janakiram et al., 2018). </w:t>
      </w:r>
    </w:p>
    <w:p w:rsidR="00000000" w:rsidDel="00000000" w:rsidP="00000000" w:rsidRDefault="00000000" w:rsidRPr="00000000" w14:paraId="000000F9">
      <w:pPr>
        <w:spacing w:line="360" w:lineRule="auto"/>
        <w:rPr>
          <w:sz w:val="24"/>
          <w:szCs w:val="24"/>
        </w:rPr>
      </w:pPr>
      <w:r w:rsidDel="00000000" w:rsidR="00000000" w:rsidRPr="00000000">
        <w:rPr>
          <w:sz w:val="24"/>
          <w:szCs w:val="24"/>
          <w:rtl w:val="0"/>
        </w:rPr>
        <w:t xml:space="preserve">In Italy, there lacked a consensus on the definition of oral health issues by stakeholders, the government and health organizations (Benedetti et al., 2015). This differing point of view decreased the attention given to attempts at policy making and implementation, a feature that fell in the first category of the framework, the </w:t>
      </w:r>
      <w:r w:rsidDel="00000000" w:rsidR="00000000" w:rsidRPr="00000000">
        <w:rPr>
          <w:i w:val="1"/>
          <w:sz w:val="24"/>
          <w:szCs w:val="24"/>
          <w:rtl w:val="0"/>
        </w:rPr>
        <w:t xml:space="preserve">power of ideas</w:t>
      </w:r>
      <w:r w:rsidDel="00000000" w:rsidR="00000000" w:rsidRPr="00000000">
        <w:rPr>
          <w:sz w:val="24"/>
          <w:szCs w:val="24"/>
          <w:rtl w:val="0"/>
        </w:rPr>
        <w:t xml:space="preserve">. In addition, there was a lack of up to date epidemiological data on the burden of oral health disease on the nation (Benedetti et al., 2015). This factor, falling under the issue characteristics, prevented prioritization as the extent of the issue could not be clearly defined. Under the category of the </w:t>
      </w:r>
      <w:r w:rsidDel="00000000" w:rsidR="00000000" w:rsidRPr="00000000">
        <w:rPr>
          <w:i w:val="1"/>
          <w:sz w:val="24"/>
          <w:szCs w:val="24"/>
          <w:rtl w:val="0"/>
        </w:rPr>
        <w:t xml:space="preserve">power of actors</w:t>
      </w:r>
      <w:r w:rsidDel="00000000" w:rsidR="00000000" w:rsidRPr="00000000">
        <w:rPr>
          <w:sz w:val="24"/>
          <w:szCs w:val="24"/>
          <w:rtl w:val="0"/>
        </w:rPr>
        <w:t xml:space="preserve">, there was a lack of cohesion among oral health organizations that prevented the definition of a common ground in the country’s state of oral health (Benedetti et al., 2015). </w:t>
      </w:r>
      <w:r w:rsidDel="00000000" w:rsidR="00000000" w:rsidRPr="00000000">
        <w:rPr>
          <w:i w:val="1"/>
          <w:sz w:val="24"/>
          <w:szCs w:val="24"/>
          <w:rtl w:val="0"/>
        </w:rPr>
        <w:t xml:space="preserve">Political context</w:t>
      </w:r>
      <w:r w:rsidDel="00000000" w:rsidR="00000000" w:rsidRPr="00000000">
        <w:rPr>
          <w:sz w:val="24"/>
          <w:szCs w:val="24"/>
          <w:rtl w:val="0"/>
        </w:rPr>
        <w:t xml:space="preserve"> also played a part in the lack of political prioritization, with defunding/ selective funding of the health sector due to unstable economic times causing the neglect of the oral health sector (Benedetti et al., 2015). From these studies, it is clear that the modified framework of political prioritization of oral health by Benzian et al., is suitable for the analysis of the level of political support of oral health in African states, with a focus on Kenya and South Africa</w:t>
      </w:r>
    </w:p>
    <w:p w:rsidR="00000000" w:rsidDel="00000000" w:rsidP="00000000" w:rsidRDefault="00000000" w:rsidRPr="00000000" w14:paraId="000000FA">
      <w:pPr>
        <w:spacing w:line="360" w:lineRule="auto"/>
        <w:rPr/>
      </w:pPr>
      <w:r w:rsidDel="00000000" w:rsidR="00000000" w:rsidRPr="00000000">
        <w:rPr>
          <w:rtl w:val="0"/>
        </w:rPr>
      </w:r>
    </w:p>
    <w:p w:rsidR="00000000" w:rsidDel="00000000" w:rsidP="00000000" w:rsidRDefault="00000000" w:rsidRPr="00000000" w14:paraId="000000FB">
      <w:pPr>
        <w:pStyle w:val="Heading1"/>
        <w:rPr/>
      </w:pPr>
      <w:r w:rsidDel="00000000" w:rsidR="00000000" w:rsidRPr="00000000">
        <w:rPr>
          <w:rtl w:val="0"/>
        </w:rPr>
        <w:t xml:space="preserve">CHAPTER THREE: METHODOLOGY </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pStyle w:val="Heading2"/>
        <w:spacing w:line="360" w:lineRule="auto"/>
        <w:rPr>
          <w:sz w:val="28"/>
          <w:szCs w:val="28"/>
        </w:rPr>
      </w:pPr>
      <w:r w:rsidDel="00000000" w:rsidR="00000000" w:rsidRPr="00000000">
        <w:rPr>
          <w:sz w:val="28"/>
          <w:szCs w:val="28"/>
          <w:rtl w:val="0"/>
        </w:rPr>
        <w:t xml:space="preserve">3.1 Introduction</w:t>
      </w:r>
    </w:p>
    <w:p w:rsidR="00000000" w:rsidDel="00000000" w:rsidP="00000000" w:rsidRDefault="00000000" w:rsidRPr="00000000" w14:paraId="000000FE">
      <w:pPr>
        <w:spacing w:line="360" w:lineRule="auto"/>
        <w:rPr>
          <w:sz w:val="24"/>
          <w:szCs w:val="24"/>
        </w:rPr>
      </w:pPr>
      <w:r w:rsidDel="00000000" w:rsidR="00000000" w:rsidRPr="00000000">
        <w:rPr>
          <w:sz w:val="24"/>
          <w:szCs w:val="24"/>
          <w:rtl w:val="0"/>
        </w:rPr>
        <w:t xml:space="preserve"> This section captures the research methodology and explains the various methods that will be adopted to ensure reliability and validity of the data. It gives the various tools and strategies that will be used to complete the research. The research aims to assess the level of political prioritization of oral health in Kenya and South Africa, and identify the facilitators and barriers to political prioritization. This study will be conducted in Kenya and South Africa, between September 2022 and December 2024.</w:t>
      </w:r>
    </w:p>
    <w:p w:rsidR="00000000" w:rsidDel="00000000" w:rsidP="00000000" w:rsidRDefault="00000000" w:rsidRPr="00000000" w14:paraId="000000FF">
      <w:pPr>
        <w:pStyle w:val="Heading2"/>
        <w:spacing w:line="360" w:lineRule="auto"/>
        <w:rPr>
          <w:b w:val="0"/>
          <w:sz w:val="28"/>
          <w:szCs w:val="28"/>
        </w:rPr>
      </w:pPr>
      <w:r w:rsidDel="00000000" w:rsidR="00000000" w:rsidRPr="00000000">
        <w:rPr>
          <w:b w:val="0"/>
          <w:sz w:val="28"/>
          <w:szCs w:val="28"/>
          <w:rtl w:val="0"/>
        </w:rPr>
        <w:t xml:space="preserve">3.2 Study Design </w:t>
      </w:r>
    </w:p>
    <w:p w:rsidR="00000000" w:rsidDel="00000000" w:rsidP="00000000" w:rsidRDefault="00000000" w:rsidRPr="00000000" w14:paraId="00000100">
      <w:pPr>
        <w:spacing w:line="360" w:lineRule="auto"/>
        <w:rPr>
          <w:sz w:val="24"/>
          <w:szCs w:val="24"/>
        </w:rPr>
      </w:pPr>
      <w:r w:rsidDel="00000000" w:rsidR="00000000" w:rsidRPr="00000000">
        <w:rPr>
          <w:sz w:val="24"/>
          <w:szCs w:val="24"/>
          <w:rtl w:val="0"/>
        </w:rPr>
        <w:t xml:space="preserve">The study will be conducted as a retrospective</w:t>
      </w:r>
      <w:r w:rsidDel="00000000" w:rsidR="00000000" w:rsidRPr="00000000">
        <w:rPr>
          <w:b w:val="1"/>
          <w:sz w:val="24"/>
          <w:szCs w:val="24"/>
          <w:rtl w:val="0"/>
        </w:rPr>
        <w:t xml:space="preserve"> </w:t>
      </w:r>
      <w:r w:rsidDel="00000000" w:rsidR="00000000" w:rsidRPr="00000000">
        <w:rPr>
          <w:sz w:val="24"/>
          <w:szCs w:val="24"/>
          <w:rtl w:val="0"/>
        </w:rPr>
        <w:t xml:space="preserve">case study of Kenya and South Africa with documentary analysis, in depth interviews with policy actors or entrepreneurs and data collection from questionnaires from relevant stakeholders. An ethnographic approach will be employed in this research. Using such an approach, we will be able to obtain data from the participants about their lived experiences and thus, develop an in-depth understanding of the political prioritization of the oral health in Kenya and South Africa. The case study approach allows in-depth, multi-faceted explorations of complex issues in their real-life settings (Crowe et al., 2011). A Mixed Method (MM) approach combining qualitative and quantitative data will be utilized .Mixed methods research is the type of research in which a researcher or team of researchers combines elements of qualitative and quantitative research approaches (e.</w:t>
      </w:r>
      <w:r w:rsidDel="00000000" w:rsidR="00000000" w:rsidRPr="00000000">
        <w:rPr>
          <w:rFonts w:ascii="Arial" w:cs="Arial" w:eastAsia="Arial" w:hAnsi="Arial"/>
          <w:sz w:val="24"/>
          <w:szCs w:val="24"/>
          <w:rtl w:val="0"/>
        </w:rPr>
        <w:t xml:space="preserve"> </w:t>
      </w:r>
      <w:r w:rsidDel="00000000" w:rsidR="00000000" w:rsidRPr="00000000">
        <w:rPr>
          <w:sz w:val="24"/>
          <w:szCs w:val="24"/>
          <w:rtl w:val="0"/>
        </w:rPr>
        <w:t xml:space="preserve">g., use of qualitative and quantitative viewpoints, data collection, analysis, inference techniques) for the broad purposes of breadth and depth of understanding and corroboration (Johnson et al., 2007). The overall goal of a mixed method study is to expand and strengthen a study’s conclusions (Schoonenboom &amp; Johnson, 2017)</w:t>
      </w:r>
    </w:p>
    <w:p w:rsidR="00000000" w:rsidDel="00000000" w:rsidP="00000000" w:rsidRDefault="00000000" w:rsidRPr="00000000" w14:paraId="00000101">
      <w:pPr>
        <w:spacing w:line="360" w:lineRule="auto"/>
        <w:rPr>
          <w:sz w:val="24"/>
          <w:szCs w:val="24"/>
        </w:rPr>
      </w:pPr>
      <w:r w:rsidDel="00000000" w:rsidR="00000000" w:rsidRPr="00000000">
        <w:rPr>
          <w:sz w:val="24"/>
          <w:szCs w:val="24"/>
          <w:rtl w:val="0"/>
        </w:rPr>
        <w:t xml:space="preserve">An initial literature review will be conducted, through desktop research of key national documents, resolutions on oral health, regional documents on health, surveys, policies, reports, newspaper articles in Kenya and South Africa. Academic publications will also be reviewed. This data will be used to provide a detailed context of the oral health care system in South Africa and Kenya as per the WHO 6 Building blocks of health systems, produce a timeline of key milestones in the history of oral health in both countries, identify key stakeholders and prepare and review interview questions for qualitative data collection, as well as questionnaires for quantitative data collection</w:t>
      </w:r>
    </w:p>
    <w:p w:rsidR="00000000" w:rsidDel="00000000" w:rsidP="00000000" w:rsidRDefault="00000000" w:rsidRPr="00000000" w14:paraId="00000102">
      <w:pPr>
        <w:pStyle w:val="Heading2"/>
        <w:spacing w:line="360" w:lineRule="auto"/>
        <w:rPr>
          <w:b w:val="0"/>
          <w:color w:val="000000"/>
          <w:sz w:val="24"/>
          <w:szCs w:val="24"/>
        </w:rPr>
      </w:pPr>
      <w:r w:rsidDel="00000000" w:rsidR="00000000" w:rsidRPr="00000000">
        <w:rPr>
          <w:b w:val="0"/>
          <w:color w:val="000000"/>
          <w:sz w:val="24"/>
          <w:szCs w:val="24"/>
          <w:rtl w:val="0"/>
        </w:rPr>
        <w:t xml:space="preserve">The reporting of the findings will be in line with the consolidated criteria for reporting qualitative research guidelines.</w:t>
      </w:r>
    </w:p>
    <w:p w:rsidR="00000000" w:rsidDel="00000000" w:rsidP="00000000" w:rsidRDefault="00000000" w:rsidRPr="00000000" w14:paraId="00000103">
      <w:pPr>
        <w:spacing w:line="360" w:lineRule="auto"/>
        <w:rPr>
          <w:sz w:val="24"/>
          <w:szCs w:val="24"/>
        </w:rPr>
      </w:pPr>
      <w:r w:rsidDel="00000000" w:rsidR="00000000" w:rsidRPr="00000000">
        <w:rPr>
          <w:rtl w:val="0"/>
        </w:rPr>
      </w:r>
    </w:p>
    <w:p w:rsidR="00000000" w:rsidDel="00000000" w:rsidP="00000000" w:rsidRDefault="00000000" w:rsidRPr="00000000" w14:paraId="00000104">
      <w:pPr>
        <w:pStyle w:val="Heading2"/>
        <w:spacing w:line="360" w:lineRule="auto"/>
        <w:rPr>
          <w:b w:val="0"/>
          <w:sz w:val="28"/>
          <w:szCs w:val="28"/>
        </w:rPr>
      </w:pPr>
      <w:r w:rsidDel="00000000" w:rsidR="00000000" w:rsidRPr="00000000">
        <w:rPr>
          <w:b w:val="0"/>
          <w:sz w:val="28"/>
          <w:szCs w:val="28"/>
          <w:rtl w:val="0"/>
        </w:rPr>
        <w:t xml:space="preserve">3.3 Study setting</w:t>
      </w:r>
    </w:p>
    <w:p w:rsidR="00000000" w:rsidDel="00000000" w:rsidP="00000000" w:rsidRDefault="00000000" w:rsidRPr="00000000" w14:paraId="00000105">
      <w:pPr>
        <w:spacing w:line="360" w:lineRule="auto"/>
        <w:rPr>
          <w:sz w:val="24"/>
          <w:szCs w:val="24"/>
        </w:rPr>
      </w:pPr>
      <w:r w:rsidDel="00000000" w:rsidR="00000000" w:rsidRPr="00000000">
        <w:rPr>
          <w:sz w:val="24"/>
          <w:szCs w:val="24"/>
          <w:rtl w:val="0"/>
        </w:rPr>
        <w:t xml:space="preserve">Kenya, located in East Africa, is a lower middle income country with a population of 54,985,702 (World Bank, 2021). Following a new constitution in 2010, Kenya transitioned into a devolved system of governance, comprising of 2 levels, the national level and 47 semi-autonomous county governments (Masaba et al., 2020). Health care service delivery was also devolved to the 47 counties. Kenya has embarked on universal health coverage (UHC), and aims to provide this through primary health care and the national social health insurance- the National Hospital Insurance Fund (Barasa et al., 2018).Kenya allocated  4.59% of total Gross domestic product (GDP) in 2019/2020 (World Bank, 2022)). </w:t>
      </w:r>
    </w:p>
    <w:p w:rsidR="00000000" w:rsidDel="00000000" w:rsidP="00000000" w:rsidRDefault="00000000" w:rsidRPr="00000000" w14:paraId="00000106">
      <w:pPr>
        <w:pStyle w:val="Heading2"/>
        <w:spacing w:line="360" w:lineRule="auto"/>
        <w:rPr>
          <w:b w:val="0"/>
          <w:color w:val="000000"/>
          <w:sz w:val="24"/>
          <w:szCs w:val="24"/>
        </w:rPr>
      </w:pPr>
      <w:r w:rsidDel="00000000" w:rsidR="00000000" w:rsidRPr="00000000">
        <w:rPr>
          <w:b w:val="0"/>
          <w:color w:val="000000"/>
          <w:sz w:val="24"/>
          <w:szCs w:val="24"/>
          <w:rtl w:val="0"/>
        </w:rPr>
        <w:t xml:space="preserve">Kenya recently launched its 2</w:t>
      </w:r>
      <w:r w:rsidDel="00000000" w:rsidR="00000000" w:rsidRPr="00000000">
        <w:rPr>
          <w:b w:val="0"/>
          <w:color w:val="000000"/>
          <w:sz w:val="24"/>
          <w:szCs w:val="24"/>
          <w:vertAlign w:val="superscript"/>
          <w:rtl w:val="0"/>
        </w:rPr>
        <w:t xml:space="preserve">nd</w:t>
      </w:r>
      <w:r w:rsidDel="00000000" w:rsidR="00000000" w:rsidRPr="00000000">
        <w:rPr>
          <w:b w:val="0"/>
          <w:color w:val="000000"/>
          <w:sz w:val="24"/>
          <w:szCs w:val="24"/>
          <w:rtl w:val="0"/>
        </w:rPr>
        <w:t xml:space="preserve"> Oral Health Policy, and 1</w:t>
      </w:r>
      <w:r w:rsidDel="00000000" w:rsidR="00000000" w:rsidRPr="00000000">
        <w:rPr>
          <w:b w:val="0"/>
          <w:color w:val="000000"/>
          <w:sz w:val="24"/>
          <w:szCs w:val="24"/>
          <w:vertAlign w:val="superscript"/>
          <w:rtl w:val="0"/>
        </w:rPr>
        <w:t xml:space="preserve">st</w:t>
      </w:r>
      <w:r w:rsidDel="00000000" w:rsidR="00000000" w:rsidRPr="00000000">
        <w:rPr>
          <w:b w:val="0"/>
          <w:color w:val="000000"/>
          <w:sz w:val="24"/>
          <w:szCs w:val="24"/>
          <w:rtl w:val="0"/>
        </w:rPr>
        <w:t xml:space="preserve"> Oral Health Strategic plan. It is a lower middle class country which will provide mirror image of most other countries on the continent. This is possible as most countries in the continent are lower to middle class countries hence results will provide a standardized measure of the level of political prioritization of oral health. This will be vital in generalizing findings of this study. Furthermore, Kenya is an English speaking country which will make it easier to collect documents and conduct interviews. </w:t>
      </w:r>
    </w:p>
    <w:p w:rsidR="00000000" w:rsidDel="00000000" w:rsidP="00000000" w:rsidRDefault="00000000" w:rsidRPr="00000000" w14:paraId="00000107">
      <w:pPr>
        <w:spacing w:line="360" w:lineRule="auto"/>
        <w:rPr>
          <w:sz w:val="24"/>
          <w:szCs w:val="24"/>
          <w:highlight w:val="white"/>
        </w:rPr>
      </w:pPr>
      <w:r w:rsidDel="00000000" w:rsidR="00000000" w:rsidRPr="00000000">
        <w:rPr>
          <w:sz w:val="24"/>
          <w:szCs w:val="24"/>
          <w:highlight w:val="white"/>
          <w:rtl w:val="0"/>
        </w:rPr>
        <w:t xml:space="preserve">South Africa is a densely populated developing country. It is listed as an upper- to middle-income country with a population of 60,041,996 (World Bank, 2021). South Africa is a constitutional democracy with a three-tier system of government-national level, provincial and municipalities. It has 9 provinces. Health care is delivered at district level through the District health system (Fusheini &amp; Eyles, 2016). South Africa has also embarked on universal health coverage, by providing a basic package of care, and providing a social health insurance- the National Health Insurance(NHI).South Africa allocated 9.11% of GDP to health in 2019 (World Bank, 2022).</w:t>
      </w:r>
    </w:p>
    <w:p w:rsidR="00000000" w:rsidDel="00000000" w:rsidP="00000000" w:rsidRDefault="00000000" w:rsidRPr="00000000" w14:paraId="00000108">
      <w:pPr>
        <w:spacing w:line="360" w:lineRule="auto"/>
        <w:rPr>
          <w:sz w:val="24"/>
          <w:szCs w:val="24"/>
        </w:rPr>
      </w:pPr>
      <w:r w:rsidDel="00000000" w:rsidR="00000000" w:rsidRPr="00000000">
        <w:rPr>
          <w:sz w:val="24"/>
          <w:szCs w:val="24"/>
          <w:rtl w:val="0"/>
        </w:rPr>
        <w:t xml:space="preserve">Kenya and South Africa have a high burden of oral disease. Kenya has a caries burden of 46.3% in 5 year old children, and 34.3% in adults ((Ministry of Health, 2015).Kenya also reports a high prevalence of gum disease, with 98.1% of adults reporting gum bleeding (Ministry of Health, 2015). South Africa had a caries prevalence of 98.7% in 1988 (Plessis et.al.,1988), and 93.7% in 2020 (Chikte et al., 2020)</w:t>
      </w:r>
      <w:r w:rsidDel="00000000" w:rsidR="00000000" w:rsidRPr="00000000">
        <w:rPr>
          <w:color w:val="1f3864"/>
          <w:sz w:val="24"/>
          <w:szCs w:val="24"/>
          <w:rtl w:val="0"/>
        </w:rPr>
        <w:t xml:space="preserve">. </w:t>
      </w:r>
      <w:r w:rsidDel="00000000" w:rsidR="00000000" w:rsidRPr="00000000">
        <w:rPr>
          <w:sz w:val="24"/>
          <w:szCs w:val="24"/>
          <w:rtl w:val="0"/>
        </w:rPr>
        <w:t xml:space="preserve">Kenya had 1288 dentists in the year 2019, whereas South Africa had 6374 dentists (Ahluwalia et al., 2018; Tiwarii et al., 2021) . Both countries report no dedicated budgets for oral health </w:t>
      </w:r>
      <w:r w:rsidDel="00000000" w:rsidR="00000000" w:rsidRPr="00000000">
        <w:rPr>
          <w:color w:val="000000"/>
          <w:sz w:val="24"/>
          <w:szCs w:val="24"/>
          <w:highlight w:val="white"/>
          <w:rtl w:val="0"/>
        </w:rPr>
        <w:t xml:space="preserve">(Mahomed &amp; Mthethwa, 2022: Ministry of Health, 2022).</w:t>
      </w:r>
      <w:r w:rsidDel="00000000" w:rsidR="00000000" w:rsidRPr="00000000">
        <w:rPr>
          <w:rtl w:val="0"/>
        </w:rPr>
      </w:r>
    </w:p>
    <w:p w:rsidR="00000000" w:rsidDel="00000000" w:rsidP="00000000" w:rsidRDefault="00000000" w:rsidRPr="00000000" w14:paraId="00000109">
      <w:pPr>
        <w:spacing w:line="360" w:lineRule="auto"/>
        <w:rPr>
          <w:sz w:val="24"/>
          <w:szCs w:val="24"/>
        </w:rPr>
      </w:pPr>
      <w:r w:rsidDel="00000000" w:rsidR="00000000" w:rsidRPr="00000000">
        <w:rPr>
          <w:rtl w:val="0"/>
        </w:rPr>
      </w:r>
    </w:p>
    <w:p w:rsidR="00000000" w:rsidDel="00000000" w:rsidP="00000000" w:rsidRDefault="00000000" w:rsidRPr="00000000" w14:paraId="0000010A">
      <w:pPr>
        <w:spacing w:line="360" w:lineRule="auto"/>
        <w:rPr>
          <w:sz w:val="24"/>
          <w:szCs w:val="24"/>
        </w:rPr>
      </w:pPr>
      <w:r w:rsidDel="00000000" w:rsidR="00000000" w:rsidRPr="00000000">
        <w:rPr>
          <w:rtl w:val="0"/>
        </w:rPr>
      </w:r>
    </w:p>
    <w:p w:rsidR="00000000" w:rsidDel="00000000" w:rsidP="00000000" w:rsidRDefault="00000000" w:rsidRPr="00000000" w14:paraId="0000010B">
      <w:pPr>
        <w:pStyle w:val="Heading2"/>
        <w:spacing w:line="360" w:lineRule="auto"/>
        <w:rPr>
          <w:b w:val="0"/>
          <w:sz w:val="28"/>
          <w:szCs w:val="28"/>
        </w:rPr>
      </w:pPr>
      <w:r w:rsidDel="00000000" w:rsidR="00000000" w:rsidRPr="00000000">
        <w:rPr>
          <w:b w:val="0"/>
          <w:sz w:val="28"/>
          <w:szCs w:val="28"/>
          <w:rtl w:val="0"/>
        </w:rPr>
        <w:t xml:space="preserve">3.4 Study Population</w:t>
      </w:r>
    </w:p>
    <w:p w:rsidR="00000000" w:rsidDel="00000000" w:rsidP="00000000" w:rsidRDefault="00000000" w:rsidRPr="00000000" w14:paraId="0000010C">
      <w:pPr>
        <w:spacing w:line="360" w:lineRule="auto"/>
        <w:rPr>
          <w:sz w:val="24"/>
          <w:szCs w:val="24"/>
        </w:rPr>
      </w:pPr>
      <w:r w:rsidDel="00000000" w:rsidR="00000000" w:rsidRPr="00000000">
        <w:rPr>
          <w:sz w:val="24"/>
          <w:szCs w:val="24"/>
          <w:rtl w:val="0"/>
        </w:rPr>
        <w:t xml:space="preserve"> The study population will include stakeholders in the oral health sector in Kenya and South Africa.</w:t>
      </w:r>
    </w:p>
    <w:p w:rsidR="00000000" w:rsidDel="00000000" w:rsidP="00000000" w:rsidRDefault="00000000" w:rsidRPr="00000000" w14:paraId="0000010D">
      <w:pPr>
        <w:spacing w:line="360" w:lineRule="auto"/>
        <w:rPr>
          <w:sz w:val="24"/>
          <w:szCs w:val="24"/>
        </w:rPr>
      </w:pPr>
      <w:r w:rsidDel="00000000" w:rsidR="00000000" w:rsidRPr="00000000">
        <w:rPr>
          <w:sz w:val="24"/>
          <w:szCs w:val="24"/>
          <w:rtl w:val="0"/>
        </w:rPr>
        <w:t xml:space="preserve">The relevant chief dental officers prior to the launch of the first National Oral Health Policy, the presidents of the dental and medical associations, the head of the primary health care unit, Universal Health care units and the Ministry of Health will be interviewed. The chief officers of Health of a few randomly selected counties will also be interviewed.</w:t>
      </w:r>
      <w:r w:rsidDel="00000000" w:rsidR="00000000" w:rsidRPr="00000000">
        <w:rPr>
          <w:b w:val="1"/>
          <w:sz w:val="24"/>
          <w:szCs w:val="24"/>
          <w:rtl w:val="0"/>
        </w:rPr>
        <w:t xml:space="preserve"> </w:t>
      </w:r>
      <w:r w:rsidDel="00000000" w:rsidR="00000000" w:rsidRPr="00000000">
        <w:rPr>
          <w:sz w:val="24"/>
          <w:szCs w:val="24"/>
          <w:rtl w:val="0"/>
        </w:rPr>
        <w:t xml:space="preserve">Head of units of primary health care (PHC) and Non-communicable diseases (NCDs), Heads of units of Medical Services and Public Health, Professors and lecturers in the department of community dentistry and public health and dental schools, as well as dentists in both the private and public sector. The mandate of policy making is left for the national government but county health policies can also be influenced at the county administrative levels following the devolvement of the health sector. As such, heads in the oral health sector at both national and county /provincial level will be recruited. </w:t>
      </w:r>
    </w:p>
    <w:p w:rsidR="00000000" w:rsidDel="00000000" w:rsidP="00000000" w:rsidRDefault="00000000" w:rsidRPr="00000000" w14:paraId="0000010E">
      <w:pPr>
        <w:pStyle w:val="Heading2"/>
        <w:spacing w:line="360" w:lineRule="auto"/>
        <w:rPr>
          <w:b w:val="0"/>
          <w:color w:val="000000"/>
          <w:sz w:val="24"/>
          <w:szCs w:val="24"/>
        </w:rPr>
      </w:pPr>
      <w:r w:rsidDel="00000000" w:rsidR="00000000" w:rsidRPr="00000000">
        <w:rPr>
          <w:rtl w:val="0"/>
        </w:rPr>
      </w:r>
    </w:p>
    <w:p w:rsidR="00000000" w:rsidDel="00000000" w:rsidP="00000000" w:rsidRDefault="00000000" w:rsidRPr="00000000" w14:paraId="0000010F">
      <w:pPr>
        <w:spacing w:line="360" w:lineRule="auto"/>
        <w:rPr>
          <w:sz w:val="28"/>
          <w:szCs w:val="28"/>
        </w:rPr>
      </w:pPr>
      <w:r w:rsidDel="00000000" w:rsidR="00000000" w:rsidRPr="00000000">
        <w:rPr>
          <w:rtl w:val="0"/>
        </w:rPr>
      </w:r>
    </w:p>
    <w:p w:rsidR="00000000" w:rsidDel="00000000" w:rsidP="00000000" w:rsidRDefault="00000000" w:rsidRPr="00000000" w14:paraId="00000110">
      <w:pPr>
        <w:pStyle w:val="Heading2"/>
        <w:spacing w:line="360" w:lineRule="auto"/>
        <w:rPr>
          <w:b w:val="0"/>
          <w:sz w:val="28"/>
          <w:szCs w:val="28"/>
        </w:rPr>
      </w:pPr>
      <w:r w:rsidDel="00000000" w:rsidR="00000000" w:rsidRPr="00000000">
        <w:rPr>
          <w:b w:val="0"/>
          <w:sz w:val="28"/>
          <w:szCs w:val="28"/>
          <w:rtl w:val="0"/>
        </w:rPr>
        <w:t xml:space="preserve">3.5 Sample Size and Sampling Approaches</w:t>
      </w:r>
    </w:p>
    <w:p w:rsidR="00000000" w:rsidDel="00000000" w:rsidP="00000000" w:rsidRDefault="00000000" w:rsidRPr="00000000" w14:paraId="00000111">
      <w:pPr>
        <w:pStyle w:val="Heading2"/>
        <w:spacing w:line="360" w:lineRule="auto"/>
        <w:rPr>
          <w:b w:val="0"/>
          <w:color w:val="000000"/>
          <w:sz w:val="24"/>
          <w:szCs w:val="24"/>
        </w:rPr>
      </w:pPr>
      <w:r w:rsidDel="00000000" w:rsidR="00000000" w:rsidRPr="00000000">
        <w:rPr>
          <w:b w:val="0"/>
          <w:color w:val="000000"/>
          <w:sz w:val="24"/>
          <w:szCs w:val="24"/>
          <w:rtl w:val="0"/>
        </w:rPr>
        <w:t xml:space="preserve">The documentary review will include secondary data and information that is relevant for answering questions on the state of oral health in Kenya and South Africa and the political prioritization of oral health. Key documents including policy documents, commissioned reports, health and oral health related strategic plans, health service plans, related legislations, epidemiological survey reports, clinical guideline and standard operating procedures, academic and grey literature. Further, relevant global, regional and country level health reports, strategies and commitment documents will also be reviewed. The documents that will be included in this study include those developed within the past 25 years under review (1997 - 2022).  </w:t>
      </w:r>
    </w:p>
    <w:p w:rsidR="00000000" w:rsidDel="00000000" w:rsidP="00000000" w:rsidRDefault="00000000" w:rsidRPr="00000000" w14:paraId="00000112">
      <w:pPr>
        <w:pStyle w:val="Heading2"/>
        <w:spacing w:line="360" w:lineRule="auto"/>
        <w:rPr>
          <w:b w:val="0"/>
          <w:color w:val="000000"/>
          <w:sz w:val="24"/>
          <w:szCs w:val="24"/>
        </w:rPr>
      </w:pPr>
      <w:r w:rsidDel="00000000" w:rsidR="00000000" w:rsidRPr="00000000">
        <w:rPr>
          <w:rtl w:val="0"/>
        </w:rPr>
      </w:r>
    </w:p>
    <w:p w:rsidR="00000000" w:rsidDel="00000000" w:rsidP="00000000" w:rsidRDefault="00000000" w:rsidRPr="00000000" w14:paraId="00000113">
      <w:pPr>
        <w:pStyle w:val="Heading2"/>
        <w:spacing w:line="360" w:lineRule="auto"/>
        <w:rPr>
          <w:b w:val="0"/>
          <w:color w:val="000000"/>
          <w:sz w:val="24"/>
          <w:szCs w:val="24"/>
        </w:rPr>
      </w:pPr>
      <w:r w:rsidDel="00000000" w:rsidR="00000000" w:rsidRPr="00000000">
        <w:rPr>
          <w:b w:val="0"/>
          <w:color w:val="000000"/>
          <w:sz w:val="24"/>
          <w:szCs w:val="24"/>
          <w:rtl w:val="0"/>
        </w:rPr>
        <w:t xml:space="preserve">For the key informant interviews, a purposive sampling, a form of non-probability sampling technique will be employed in selecting the participants as described by Polit &amp; Beck (2006). This is chosen with the aim to obtain a goal-oriented study in with the respondents provide in depth information on an area in which there are well con versant with.in this way, we will be able to learn a lot of issues of central importance to the research questions thus, achieve richness of data. Depending on the data obtained from the interviews, theoretical sampling will be adopted to obtain more information on the subject matter. Depending on the results of the first round of data analysis, more participants will be recruited to corroborate or deny the finding on the observed data. In this case, we will circle between sampling, data collection and data analysis in tandem with the theoretical sampling technique (Bernard, 2002). This procedure ensures that data saturation is achieved hence improving the validity and data reliability.</w:t>
      </w:r>
    </w:p>
    <w:p w:rsidR="00000000" w:rsidDel="00000000" w:rsidP="00000000" w:rsidRDefault="00000000" w:rsidRPr="00000000" w14:paraId="00000114">
      <w:pPr>
        <w:rPr/>
      </w:pPr>
      <w:r w:rsidDel="00000000" w:rsidR="00000000" w:rsidRPr="00000000">
        <w:rPr>
          <w:rtl w:val="0"/>
        </w:rPr>
        <w:t xml:space="preserve">For the questionnaires, the sample size will be computed. </w:t>
      </w:r>
    </w:p>
    <w:p w:rsidR="00000000" w:rsidDel="00000000" w:rsidP="00000000" w:rsidRDefault="00000000" w:rsidRPr="00000000" w14:paraId="00000115">
      <w:pPr>
        <w:spacing w:line="360" w:lineRule="auto"/>
        <w:rPr>
          <w:sz w:val="28"/>
          <w:szCs w:val="28"/>
        </w:rPr>
      </w:pPr>
      <w:r w:rsidDel="00000000" w:rsidR="00000000" w:rsidRPr="00000000">
        <w:rPr>
          <w:rtl w:val="0"/>
        </w:rPr>
      </w:r>
    </w:p>
    <w:p w:rsidR="00000000" w:rsidDel="00000000" w:rsidP="00000000" w:rsidRDefault="00000000" w:rsidRPr="00000000" w14:paraId="00000116">
      <w:pPr>
        <w:pStyle w:val="Heading2"/>
        <w:spacing w:line="360" w:lineRule="auto"/>
        <w:rPr>
          <w:b w:val="0"/>
          <w:sz w:val="28"/>
          <w:szCs w:val="28"/>
        </w:rPr>
      </w:pPr>
      <w:r w:rsidDel="00000000" w:rsidR="00000000" w:rsidRPr="00000000">
        <w:rPr>
          <w:b w:val="0"/>
          <w:sz w:val="28"/>
          <w:szCs w:val="28"/>
          <w:rtl w:val="0"/>
        </w:rPr>
        <w:t xml:space="preserve">3.6 Instruments of Data Collection, Data Collection </w:t>
      </w:r>
    </w:p>
    <w:p w:rsidR="00000000" w:rsidDel="00000000" w:rsidP="00000000" w:rsidRDefault="00000000" w:rsidRPr="00000000" w14:paraId="00000117">
      <w:pPr>
        <w:spacing w:line="360" w:lineRule="auto"/>
        <w:rPr>
          <w:sz w:val="24"/>
          <w:szCs w:val="24"/>
        </w:rPr>
      </w:pPr>
      <w:r w:rsidDel="00000000" w:rsidR="00000000" w:rsidRPr="00000000">
        <w:rPr>
          <w:sz w:val="24"/>
          <w:szCs w:val="24"/>
          <w:rtl w:val="0"/>
        </w:rPr>
        <w:t xml:space="preserve">3.6.1 Desk Review Matrix</w:t>
      </w:r>
    </w:p>
    <w:p w:rsidR="00000000" w:rsidDel="00000000" w:rsidP="00000000" w:rsidRDefault="00000000" w:rsidRPr="00000000" w14:paraId="00000118">
      <w:pPr>
        <w:spacing w:line="360" w:lineRule="auto"/>
        <w:rPr>
          <w:sz w:val="24"/>
          <w:szCs w:val="24"/>
        </w:rPr>
      </w:pPr>
      <w:r w:rsidDel="00000000" w:rsidR="00000000" w:rsidRPr="00000000">
        <w:rPr>
          <w:sz w:val="24"/>
          <w:szCs w:val="24"/>
          <w:rtl w:val="0"/>
        </w:rPr>
        <w:t xml:space="preserve">This desk review matrix will outline all global documents, resolutions on oral health, primary health care, NCDs and national documents on primary health care, oral health, health policies and other national reports .This will be developed in MS EXCEL spreadsheet using a range of column headings including title, author, year, resource type, source, political landscape and content. </w:t>
      </w:r>
    </w:p>
    <w:p w:rsidR="00000000" w:rsidDel="00000000" w:rsidP="00000000" w:rsidRDefault="00000000" w:rsidRPr="00000000" w14:paraId="00000119">
      <w:pPr>
        <w:spacing w:line="360" w:lineRule="auto"/>
        <w:rPr>
          <w:sz w:val="24"/>
          <w:szCs w:val="24"/>
        </w:rPr>
      </w:pPr>
      <w:r w:rsidDel="00000000" w:rsidR="00000000" w:rsidRPr="00000000">
        <w:rPr>
          <w:sz w:val="24"/>
          <w:szCs w:val="24"/>
          <w:rtl w:val="0"/>
        </w:rPr>
        <w:t xml:space="preserve">3.6.2 Interviews and Interview Guide</w:t>
      </w:r>
    </w:p>
    <w:p w:rsidR="00000000" w:rsidDel="00000000" w:rsidP="00000000" w:rsidRDefault="00000000" w:rsidRPr="00000000" w14:paraId="0000011A">
      <w:pPr>
        <w:spacing w:line="360" w:lineRule="auto"/>
        <w:rPr>
          <w:sz w:val="24"/>
          <w:szCs w:val="24"/>
        </w:rPr>
      </w:pPr>
      <w:r w:rsidDel="00000000" w:rsidR="00000000" w:rsidRPr="00000000">
        <w:rPr>
          <w:sz w:val="24"/>
          <w:szCs w:val="24"/>
          <w:rtl w:val="0"/>
        </w:rPr>
        <w:t xml:space="preserve">In depth interviews will be conducted to analyses the political priority of Oral Health in Kenya and South Africa. Questions will be guided by the Shiffman and Smith Political Power framework as illustrated in table 1 above. Although initially developed for global political priority of health issues, the method has evolved to and has been shown to be applicable in national settings. This is evidenced by its applications in analyzing political prioritization of health problems in Asia and Latin America. With its proven practical application, it will be relevant in this setting  Consequently, semi-structured interviews will be the focus of this research (Robson, 2010). Before the interviews, the participants will be contacted via email and texts messages. During this virtual platform, they will be given all the necessary information regarding the study including their rights to withdraw at any time they wish and benefits of the study.</w:t>
      </w:r>
    </w:p>
    <w:p w:rsidR="00000000" w:rsidDel="00000000" w:rsidP="00000000" w:rsidRDefault="00000000" w:rsidRPr="00000000" w14:paraId="0000011B">
      <w:pPr>
        <w:spacing w:line="360" w:lineRule="auto"/>
        <w:rPr>
          <w:sz w:val="24"/>
          <w:szCs w:val="24"/>
        </w:rPr>
      </w:pPr>
      <w:r w:rsidDel="00000000" w:rsidR="00000000" w:rsidRPr="00000000">
        <w:rPr>
          <w:sz w:val="24"/>
          <w:szCs w:val="24"/>
          <w:rtl w:val="0"/>
        </w:rPr>
        <w:t xml:space="preserve"> They will then be required to sign a consent form before the interview and agree on their convenient time and place to conduct the interview. The interviews will be conducted physically in a one on one sitting and tape recorded for future reference. Short notes will also be taken. Data privacy will be guaranteed and confidentiality of the meeting ensured. To smoothen the interview process, places that are accessible and quiet will be proposed to the participants who will agree on one of them. The participants will be given a copy of the research entailing the objectives and brief background. They will allowed to read the copies prior to signing the consent forms. The copies will be available in English versions which is the official language in the country. During the interviews, the participants will be allowed to speak freely about their knowledge on the political prioritization of oral health in the country.</w:t>
      </w:r>
    </w:p>
    <w:p w:rsidR="00000000" w:rsidDel="00000000" w:rsidP="00000000" w:rsidRDefault="00000000" w:rsidRPr="00000000" w14:paraId="0000011C">
      <w:pPr>
        <w:spacing w:line="360" w:lineRule="auto"/>
        <w:rPr>
          <w:sz w:val="24"/>
          <w:szCs w:val="24"/>
        </w:rPr>
      </w:pPr>
      <w:r w:rsidDel="00000000" w:rsidR="00000000" w:rsidRPr="00000000">
        <w:rPr>
          <w:sz w:val="24"/>
          <w:szCs w:val="24"/>
          <w:rtl w:val="0"/>
        </w:rPr>
        <w:t xml:space="preserve">A key informant interview guide (Attached in appendix) will be used for the interview. The interview will be conducted in English, be digitally recorded and transcribed. Some of the interview questions will consist of questions on: 1.The current priority for oral health in the health agenda for Kenya/South Africa. 2. How oral health fits in the key health priorities in Kenya/South Africa 3. Who is responsible for setting health priorities in Kenya/South Africa 4. What sources within Kenya and South Africa can put pressure for prioritization of oral health. </w:t>
      </w:r>
    </w:p>
    <w:p w:rsidR="00000000" w:rsidDel="00000000" w:rsidP="00000000" w:rsidRDefault="00000000" w:rsidRPr="00000000" w14:paraId="0000011D">
      <w:pPr>
        <w:spacing w:line="360" w:lineRule="auto"/>
        <w:rPr>
          <w:sz w:val="24"/>
          <w:szCs w:val="24"/>
        </w:rPr>
      </w:pPr>
      <w:r w:rsidDel="00000000" w:rsidR="00000000" w:rsidRPr="00000000">
        <w:rPr>
          <w:sz w:val="24"/>
          <w:szCs w:val="24"/>
          <w:rtl w:val="0"/>
        </w:rPr>
        <w:t xml:space="preserve">3.6.3: Questionnaires will be used to collect quantitative data, the questions of which will be guided by data collected during literature review. </w:t>
      </w:r>
    </w:p>
    <w:p w:rsidR="00000000" w:rsidDel="00000000" w:rsidP="00000000" w:rsidRDefault="00000000" w:rsidRPr="00000000" w14:paraId="0000011E">
      <w:pPr>
        <w:spacing w:line="360" w:lineRule="auto"/>
        <w:rPr>
          <w:sz w:val="24"/>
          <w:szCs w:val="24"/>
        </w:rPr>
      </w:pPr>
      <w:r w:rsidDel="00000000" w:rsidR="00000000" w:rsidRPr="00000000">
        <w:rPr>
          <w:rtl w:val="0"/>
        </w:rPr>
      </w:r>
    </w:p>
    <w:p w:rsidR="00000000" w:rsidDel="00000000" w:rsidP="00000000" w:rsidRDefault="00000000" w:rsidRPr="00000000" w14:paraId="0000011F">
      <w:pPr>
        <w:pStyle w:val="Heading2"/>
        <w:spacing w:line="360" w:lineRule="auto"/>
        <w:rPr>
          <w:b w:val="0"/>
          <w:color w:val="000000"/>
          <w:sz w:val="28"/>
          <w:szCs w:val="28"/>
        </w:rPr>
      </w:pPr>
      <w:r w:rsidDel="00000000" w:rsidR="00000000" w:rsidRPr="00000000">
        <w:rPr>
          <w:b w:val="0"/>
          <w:sz w:val="28"/>
          <w:szCs w:val="28"/>
          <w:rtl w:val="0"/>
        </w:rPr>
        <w:t xml:space="preserve">3.7 Reliability and Validity </w:t>
      </w:r>
      <w:r w:rsidDel="00000000" w:rsidR="00000000" w:rsidRPr="00000000">
        <w:rPr>
          <w:rtl w:val="0"/>
        </w:rPr>
      </w:r>
    </w:p>
    <w:p w:rsidR="00000000" w:rsidDel="00000000" w:rsidP="00000000" w:rsidRDefault="00000000" w:rsidRPr="00000000" w14:paraId="00000120">
      <w:pPr>
        <w:spacing w:line="360" w:lineRule="auto"/>
        <w:rPr>
          <w:sz w:val="24"/>
          <w:szCs w:val="24"/>
        </w:rPr>
      </w:pPr>
      <w:r w:rsidDel="00000000" w:rsidR="00000000" w:rsidRPr="00000000">
        <w:rPr>
          <w:sz w:val="24"/>
          <w:szCs w:val="24"/>
          <w:rtl w:val="0"/>
        </w:rPr>
        <w:t xml:space="preserve">To ensure trustworthiness of the data gathered, the researcher will invest more time in visiting the various oral health units in the country and introduce themselves to the practitioners. This will be conducted before data collection has begun. The researcher will employ the theoretical sampling after the initial round of purposive sampling hence, data saturation will be achieved as the researcher will cycle back and forth between sampling, data collection and data analysis. In this method, an information rich results are almost always guaranteed as the data is checked and counterchecked until no further new idea about a subject is forthcoming from the participants.</w:t>
      </w:r>
    </w:p>
    <w:p w:rsidR="00000000" w:rsidDel="00000000" w:rsidP="00000000" w:rsidRDefault="00000000" w:rsidRPr="00000000" w14:paraId="00000121">
      <w:pPr>
        <w:spacing w:line="360" w:lineRule="auto"/>
        <w:rPr>
          <w:sz w:val="24"/>
          <w:szCs w:val="24"/>
        </w:rPr>
      </w:pPr>
      <w:r w:rsidDel="00000000" w:rsidR="00000000" w:rsidRPr="00000000">
        <w:rPr>
          <w:rtl w:val="0"/>
        </w:rPr>
      </w:r>
    </w:p>
    <w:p w:rsidR="00000000" w:rsidDel="00000000" w:rsidP="00000000" w:rsidRDefault="00000000" w:rsidRPr="00000000" w14:paraId="00000122">
      <w:pPr>
        <w:pStyle w:val="Heading2"/>
        <w:spacing w:line="360" w:lineRule="auto"/>
        <w:rPr>
          <w:b w:val="0"/>
          <w:sz w:val="28"/>
          <w:szCs w:val="28"/>
        </w:rPr>
      </w:pPr>
      <w:r w:rsidDel="00000000" w:rsidR="00000000" w:rsidRPr="00000000">
        <w:rPr>
          <w:b w:val="0"/>
          <w:sz w:val="28"/>
          <w:szCs w:val="28"/>
          <w:rtl w:val="0"/>
        </w:rPr>
        <w:t xml:space="preserve">3.8 Data Quality Measures </w:t>
      </w:r>
    </w:p>
    <w:p w:rsidR="00000000" w:rsidDel="00000000" w:rsidP="00000000" w:rsidRDefault="00000000" w:rsidRPr="00000000" w14:paraId="00000123">
      <w:pPr>
        <w:pStyle w:val="Heading2"/>
        <w:spacing w:line="360" w:lineRule="auto"/>
        <w:rPr>
          <w:b w:val="0"/>
          <w:color w:val="000000"/>
          <w:sz w:val="24"/>
          <w:szCs w:val="24"/>
        </w:rPr>
      </w:pPr>
      <w:r w:rsidDel="00000000" w:rsidR="00000000" w:rsidRPr="00000000">
        <w:rPr>
          <w:b w:val="0"/>
          <w:color w:val="000000"/>
          <w:sz w:val="24"/>
          <w:szCs w:val="24"/>
          <w:rtl w:val="0"/>
        </w:rPr>
        <w:t xml:space="preserve">The information obtained from the first round of interviews will be compared to the results of the theoretical sample. Constant comparison will be strictly adhered to ensure that the data does not contradict. In such a case that there is contradicting results, more participants will be recruited and a consensus of the data analyzed and settled upon a focal point of similarities in the data. </w:t>
      </w:r>
    </w:p>
    <w:p w:rsidR="00000000" w:rsidDel="00000000" w:rsidP="00000000" w:rsidRDefault="00000000" w:rsidRPr="00000000" w14:paraId="00000124">
      <w:pPr>
        <w:spacing w:line="360" w:lineRule="auto"/>
        <w:rPr>
          <w:sz w:val="24"/>
          <w:szCs w:val="24"/>
        </w:rPr>
      </w:pPr>
      <w:r w:rsidDel="00000000" w:rsidR="00000000" w:rsidRPr="00000000">
        <w:rPr>
          <w:rtl w:val="0"/>
        </w:rPr>
      </w:r>
    </w:p>
    <w:p w:rsidR="00000000" w:rsidDel="00000000" w:rsidP="00000000" w:rsidRDefault="00000000" w:rsidRPr="00000000" w14:paraId="00000125">
      <w:pPr>
        <w:pStyle w:val="Heading2"/>
        <w:spacing w:line="360" w:lineRule="auto"/>
        <w:rPr>
          <w:b w:val="0"/>
          <w:sz w:val="28"/>
          <w:szCs w:val="28"/>
        </w:rPr>
      </w:pPr>
      <w:r w:rsidDel="00000000" w:rsidR="00000000" w:rsidRPr="00000000">
        <w:rPr>
          <w:b w:val="0"/>
          <w:sz w:val="28"/>
          <w:szCs w:val="28"/>
          <w:rtl w:val="0"/>
        </w:rPr>
        <w:t xml:space="preserve">3.9 Data Management and Analysis</w:t>
      </w:r>
    </w:p>
    <w:p w:rsidR="00000000" w:rsidDel="00000000" w:rsidP="00000000" w:rsidRDefault="00000000" w:rsidRPr="00000000" w14:paraId="00000126">
      <w:pPr>
        <w:pStyle w:val="Heading2"/>
        <w:spacing w:line="360" w:lineRule="auto"/>
        <w:rPr>
          <w:b w:val="0"/>
          <w:color w:val="000000"/>
          <w:sz w:val="24"/>
          <w:szCs w:val="24"/>
        </w:rPr>
      </w:pPr>
      <w:r w:rsidDel="00000000" w:rsidR="00000000" w:rsidRPr="00000000">
        <w:rPr>
          <w:b w:val="0"/>
          <w:color w:val="000000"/>
          <w:sz w:val="24"/>
          <w:szCs w:val="24"/>
          <w:rtl w:val="0"/>
        </w:rPr>
        <w:t xml:space="preserve">Data analysis will be guided by the Shiffman and Smith Political Power framework</w:t>
      </w:r>
    </w:p>
    <w:p w:rsidR="00000000" w:rsidDel="00000000" w:rsidP="00000000" w:rsidRDefault="00000000" w:rsidRPr="00000000" w14:paraId="00000127">
      <w:pPr>
        <w:pStyle w:val="Heading2"/>
        <w:spacing w:line="360" w:lineRule="auto"/>
        <w:rPr>
          <w:b w:val="0"/>
          <w:color w:val="000000"/>
          <w:sz w:val="24"/>
          <w:szCs w:val="24"/>
        </w:rPr>
      </w:pPr>
      <w:r w:rsidDel="00000000" w:rsidR="00000000" w:rsidRPr="00000000">
        <w:rPr>
          <w:b w:val="0"/>
          <w:color w:val="000000"/>
          <w:sz w:val="24"/>
          <w:szCs w:val="24"/>
          <w:rtl w:val="0"/>
        </w:rPr>
        <w:t xml:space="preserve">At the start the contents of each document will be mapped onto an MS Excel spreadsheet using a range of column headings including title, author, year, resource type, source/location, political landscape, and content. A range of key concepts will be identified and coded as categories before analysis.</w:t>
      </w:r>
    </w:p>
    <w:p w:rsidR="00000000" w:rsidDel="00000000" w:rsidP="00000000" w:rsidRDefault="00000000" w:rsidRPr="00000000" w14:paraId="00000128">
      <w:pPr>
        <w:pStyle w:val="Heading2"/>
        <w:spacing w:line="360" w:lineRule="auto"/>
        <w:rPr>
          <w:b w:val="0"/>
          <w:color w:val="000000"/>
          <w:sz w:val="24"/>
          <w:szCs w:val="24"/>
        </w:rPr>
      </w:pPr>
      <w:r w:rsidDel="00000000" w:rsidR="00000000" w:rsidRPr="00000000">
        <w:rPr>
          <w:b w:val="0"/>
          <w:color w:val="000000"/>
          <w:sz w:val="24"/>
          <w:szCs w:val="24"/>
          <w:rtl w:val="0"/>
        </w:rPr>
        <w:t xml:space="preserve">Data analysis of the in depth interviews  will be conducted on the audio-recordings, transcriptions, and detailed field notes. The research team will review the detailed field notes to begin the process of understanding the emergent themes as specified by the  Shiffman and Smith Political Power framework. A codebook will be developed with key themes and sub-themes expected from the in-depth interviews using a thematic approach. Key themes from the research will be derived through coding of the transcripts from the in-depth interviews.</w:t>
      </w:r>
    </w:p>
    <w:p w:rsidR="00000000" w:rsidDel="00000000" w:rsidP="00000000" w:rsidRDefault="00000000" w:rsidRPr="00000000" w14:paraId="00000129">
      <w:pPr>
        <w:pStyle w:val="Heading2"/>
        <w:spacing w:line="360" w:lineRule="auto"/>
        <w:rPr>
          <w:b w:val="0"/>
          <w:color w:val="000000"/>
          <w:sz w:val="24"/>
          <w:szCs w:val="24"/>
        </w:rPr>
      </w:pPr>
      <w:r w:rsidDel="00000000" w:rsidR="00000000" w:rsidRPr="00000000">
        <w:rPr>
          <w:b w:val="0"/>
          <w:color w:val="000000"/>
          <w:sz w:val="24"/>
          <w:szCs w:val="24"/>
          <w:rtl w:val="0"/>
        </w:rPr>
        <w:t xml:space="preserve">Transcripts of the semi structured interviews and the outputs of the documentary analysis will be examined jointly and coded using NVivo. The predetermined categories derived from the Shiffman and Smith Political Power framework will be applied across all documents and interviews as applicable.  The data analysis process will triangulate findings from the in depth interviews with the outputs and outcomes from the documentary analysis.  </w:t>
      </w:r>
    </w:p>
    <w:p w:rsidR="00000000" w:rsidDel="00000000" w:rsidP="00000000" w:rsidRDefault="00000000" w:rsidRPr="00000000" w14:paraId="0000012A">
      <w:pPr>
        <w:rPr/>
      </w:pPr>
      <w:r w:rsidDel="00000000" w:rsidR="00000000" w:rsidRPr="00000000">
        <w:rPr>
          <w:rtl w:val="0"/>
        </w:rPr>
        <w:t xml:space="preserve">Quantitative Data collected from questionnaires will be analysed using SPSS software. </w:t>
      </w:r>
    </w:p>
    <w:p w:rsidR="00000000" w:rsidDel="00000000" w:rsidP="00000000" w:rsidRDefault="00000000" w:rsidRPr="00000000" w14:paraId="0000012B">
      <w:pPr>
        <w:pStyle w:val="Heading2"/>
        <w:spacing w:line="360" w:lineRule="auto"/>
        <w:rPr>
          <w:b w:val="0"/>
          <w:sz w:val="24"/>
          <w:szCs w:val="24"/>
        </w:rPr>
      </w:pPr>
      <w:r w:rsidDel="00000000" w:rsidR="00000000" w:rsidRPr="00000000">
        <w:rPr>
          <w:b w:val="0"/>
          <w:sz w:val="28"/>
          <w:szCs w:val="28"/>
          <w:rtl w:val="0"/>
        </w:rPr>
        <w:t xml:space="preserve">3.10 Ethical Considerations </w:t>
      </w:r>
      <w:r w:rsidDel="00000000" w:rsidR="00000000" w:rsidRPr="00000000">
        <w:rPr>
          <w:rtl w:val="0"/>
        </w:rPr>
      </w:r>
    </w:p>
    <w:p w:rsidR="00000000" w:rsidDel="00000000" w:rsidP="00000000" w:rsidRDefault="00000000" w:rsidRPr="00000000" w14:paraId="0000012C">
      <w:pPr>
        <w:spacing w:line="360" w:lineRule="auto"/>
        <w:rPr>
          <w:sz w:val="24"/>
          <w:szCs w:val="24"/>
        </w:rPr>
      </w:pPr>
      <w:r w:rsidDel="00000000" w:rsidR="00000000" w:rsidRPr="00000000">
        <w:rPr>
          <w:sz w:val="24"/>
          <w:szCs w:val="24"/>
          <w:rtl w:val="0"/>
        </w:rPr>
        <w:t xml:space="preserve">Participation in this study will be voluntary. Study subjects will only be included in the study after written informed consent is obtained. The study protocol will be subjected to ethical review and approval by the Human subject research ethics committee at the National Research Ethics Committee in Kenya (University of Nairobi Ethics Research Committee and the University of Western Cape research committee).</w:t>
      </w:r>
    </w:p>
    <w:p w:rsidR="00000000" w:rsidDel="00000000" w:rsidP="00000000" w:rsidRDefault="00000000" w:rsidRPr="00000000" w14:paraId="0000012D">
      <w:pPr>
        <w:spacing w:line="360" w:lineRule="auto"/>
        <w:rPr>
          <w:sz w:val="24"/>
          <w:szCs w:val="24"/>
        </w:rPr>
      </w:pPr>
      <w:r w:rsidDel="00000000" w:rsidR="00000000" w:rsidRPr="00000000">
        <w:rPr>
          <w:sz w:val="24"/>
          <w:szCs w:val="24"/>
          <w:rtl w:val="0"/>
        </w:rPr>
        <w:t xml:space="preserve"> The confidentiality of personal data of the participants will be adhered to. Moreover, the participants will be informed of their rights to withdraw from the study at any time they so wish.</w:t>
      </w:r>
    </w:p>
    <w:p w:rsidR="00000000" w:rsidDel="00000000" w:rsidP="00000000" w:rsidRDefault="00000000" w:rsidRPr="00000000" w14:paraId="0000012E">
      <w:pPr>
        <w:spacing w:line="360" w:lineRule="auto"/>
        <w:rPr>
          <w:sz w:val="24"/>
          <w:szCs w:val="24"/>
        </w:rPr>
      </w:pPr>
      <w:r w:rsidDel="00000000" w:rsidR="00000000" w:rsidRPr="00000000">
        <w:rPr>
          <w:sz w:val="24"/>
          <w:szCs w:val="24"/>
          <w:rtl w:val="0"/>
        </w:rPr>
        <w:t xml:space="preserve"> The research methodology will ensure that: </w:t>
      </w:r>
    </w:p>
    <w:p w:rsidR="00000000" w:rsidDel="00000000" w:rsidP="00000000" w:rsidRDefault="00000000" w:rsidRPr="00000000" w14:paraId="0000012F">
      <w:pPr>
        <w:spacing w:line="360" w:lineRule="auto"/>
        <w:rPr>
          <w:sz w:val="24"/>
          <w:szCs w:val="24"/>
        </w:rPr>
      </w:pPr>
      <w:r w:rsidDel="00000000" w:rsidR="00000000" w:rsidRPr="00000000">
        <w:rPr>
          <w:sz w:val="24"/>
          <w:szCs w:val="24"/>
          <w:rtl w:val="0"/>
        </w:rPr>
        <w:t xml:space="preserve">      </w:t>
        <w:tab/>
        <w:t xml:space="preserve">(a) </w:t>
        <w:tab/>
        <w:t xml:space="preserve">freely given, informed consent is obtained from all subjects of the research.</w:t>
      </w:r>
    </w:p>
    <w:p w:rsidR="00000000" w:rsidDel="00000000" w:rsidP="00000000" w:rsidRDefault="00000000" w:rsidRPr="00000000" w14:paraId="00000130">
      <w:pPr>
        <w:spacing w:line="360" w:lineRule="auto"/>
        <w:ind w:left="1440" w:hanging="1440"/>
        <w:rPr>
          <w:sz w:val="24"/>
          <w:szCs w:val="24"/>
        </w:rPr>
      </w:pPr>
      <w:r w:rsidDel="00000000" w:rsidR="00000000" w:rsidRPr="00000000">
        <w:rPr>
          <w:sz w:val="24"/>
          <w:szCs w:val="24"/>
          <w:rtl w:val="0"/>
        </w:rPr>
        <w:t xml:space="preserve">             (b) </w:t>
        <w:tab/>
        <w:t xml:space="preserve">the rights, and welfare of the subjects involved in the research is adequately        considered and protected at all stages of the research.</w:t>
      </w:r>
    </w:p>
    <w:p w:rsidR="00000000" w:rsidDel="00000000" w:rsidP="00000000" w:rsidRDefault="00000000" w:rsidRPr="00000000" w14:paraId="00000131">
      <w:pPr>
        <w:spacing w:line="360" w:lineRule="auto"/>
        <w:rPr>
          <w:sz w:val="24"/>
          <w:szCs w:val="24"/>
        </w:rPr>
      </w:pPr>
      <w:r w:rsidDel="00000000" w:rsidR="00000000" w:rsidRPr="00000000">
        <w:rPr>
          <w:sz w:val="24"/>
          <w:szCs w:val="24"/>
          <w:rtl w:val="0"/>
        </w:rPr>
        <w:t xml:space="preserve">      </w:t>
        <w:tab/>
        <w:t xml:space="preserve">(c) </w:t>
        <w:tab/>
        <w:t xml:space="preserve">storage and retrieval of information is the sole responsibility of the researcher. </w:t>
      </w:r>
    </w:p>
    <w:p w:rsidR="00000000" w:rsidDel="00000000" w:rsidP="00000000" w:rsidRDefault="00000000" w:rsidRPr="00000000" w14:paraId="00000132">
      <w:pPr>
        <w:spacing w:line="360" w:lineRule="auto"/>
        <w:rPr>
          <w:sz w:val="24"/>
          <w:szCs w:val="24"/>
        </w:rPr>
      </w:pPr>
      <w:r w:rsidDel="00000000" w:rsidR="00000000" w:rsidRPr="00000000">
        <w:rPr>
          <w:sz w:val="24"/>
          <w:szCs w:val="24"/>
          <w:rtl w:val="0"/>
        </w:rPr>
        <w:t xml:space="preserve">      </w:t>
        <w:tab/>
        <w:t xml:space="preserve">(d) </w:t>
        <w:tab/>
        <w:t xml:space="preserve">the research complies with the requirements of the Ethical subcommittee of the University of the Western Cape, South Africa and the National Research Ethics Committee of Kenya   </w:t>
      </w:r>
    </w:p>
    <w:p w:rsidR="00000000" w:rsidDel="00000000" w:rsidP="00000000" w:rsidRDefault="00000000" w:rsidRPr="00000000" w14:paraId="00000133">
      <w:pPr>
        <w:pBdr>
          <w:top w:space="0" w:sz="0" w:val="nil"/>
          <w:left w:space="0" w:sz="0" w:val="nil"/>
          <w:bottom w:space="0" w:sz="0" w:val="nil"/>
          <w:right w:space="0" w:sz="0" w:val="nil"/>
          <w:between w:space="0" w:sz="0" w:val="nil"/>
        </w:pBdr>
        <w:spacing w:line="360" w:lineRule="auto"/>
        <w:rPr>
          <w:color w:val="000000"/>
          <w:sz w:val="24"/>
          <w:szCs w:val="24"/>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spacing w:line="360" w:lineRule="auto"/>
        <w:rPr>
          <w:color w:val="2f5496"/>
          <w:sz w:val="28"/>
          <w:szCs w:val="28"/>
        </w:rPr>
      </w:pPr>
      <w:r w:rsidDel="00000000" w:rsidR="00000000" w:rsidRPr="00000000">
        <w:rPr>
          <w:color w:val="2f5496"/>
          <w:sz w:val="28"/>
          <w:szCs w:val="28"/>
          <w:rtl w:val="0"/>
        </w:rPr>
        <w:t xml:space="preserve">3.11 Study limitations and delimitations </w:t>
      </w:r>
    </w:p>
    <w:p w:rsidR="00000000" w:rsidDel="00000000" w:rsidP="00000000" w:rsidRDefault="00000000" w:rsidRPr="00000000" w14:paraId="00000135">
      <w:pPr>
        <w:pBdr>
          <w:top w:space="0" w:sz="0" w:val="nil"/>
          <w:left w:space="0" w:sz="0" w:val="nil"/>
          <w:bottom w:space="0" w:sz="0" w:val="nil"/>
          <w:right w:space="0" w:sz="0" w:val="nil"/>
          <w:between w:space="0" w:sz="0" w:val="nil"/>
        </w:pBdr>
        <w:spacing w:line="360" w:lineRule="auto"/>
        <w:rPr>
          <w:color w:val="000000"/>
          <w:sz w:val="24"/>
          <w:szCs w:val="24"/>
        </w:rPr>
      </w:pPr>
      <w:r w:rsidDel="00000000" w:rsidR="00000000" w:rsidRPr="00000000">
        <w:rPr>
          <w:color w:val="000000"/>
          <w:sz w:val="24"/>
          <w:szCs w:val="24"/>
          <w:rtl w:val="0"/>
        </w:rPr>
        <w:t xml:space="preserve">We anticipate that setting up the interviews may be a challenge as various dental practitioners have a heavy workload. This alone makes them more-less reluctant to participate in such studies. Due to the nature of work load of the various presidents of the various health units to be interviewed and their propensity to travel, the feasibility of a physical interview, may be a challenge.</w:t>
      </w:r>
    </w:p>
    <w:p w:rsidR="00000000" w:rsidDel="00000000" w:rsidP="00000000" w:rsidRDefault="00000000" w:rsidRPr="00000000" w14:paraId="00000136">
      <w:pPr>
        <w:pBdr>
          <w:top w:space="0" w:sz="0" w:val="nil"/>
          <w:left w:space="0" w:sz="0" w:val="nil"/>
          <w:bottom w:space="0" w:sz="0" w:val="nil"/>
          <w:right w:space="0" w:sz="0" w:val="nil"/>
          <w:between w:space="0" w:sz="0" w:val="nil"/>
        </w:pBdr>
        <w:spacing w:line="360" w:lineRule="auto"/>
        <w:rPr>
          <w:color w:val="000000"/>
          <w:sz w:val="24"/>
          <w:szCs w:val="24"/>
        </w:rPr>
      </w:pPr>
      <w:r w:rsidDel="00000000" w:rsidR="00000000" w:rsidRPr="00000000">
        <w:rPr>
          <w:color w:val="000000"/>
          <w:sz w:val="24"/>
          <w:szCs w:val="24"/>
          <w:rtl w:val="0"/>
        </w:rPr>
        <w:t xml:space="preserve">However, in the event that a physical interview will not be possible, a virtual meeting will be proposed via a zoom video call. Moreover, the study findings will be important in assessing the level of oral health prioritization in the country. Besides, various barriers to prioritization will be identified and gaps reported. In so doing, this study will provide a basis which can be adopted to help guide on the necessary steps to be taken to achieve political prioritization or oral health.</w:t>
      </w:r>
    </w:p>
    <w:p w:rsidR="00000000" w:rsidDel="00000000" w:rsidP="00000000" w:rsidRDefault="00000000" w:rsidRPr="00000000" w14:paraId="00000137">
      <w:pPr>
        <w:pBdr>
          <w:top w:space="0" w:sz="0" w:val="nil"/>
          <w:left w:space="0" w:sz="0" w:val="nil"/>
          <w:bottom w:space="0" w:sz="0" w:val="nil"/>
          <w:right w:space="0" w:sz="0" w:val="nil"/>
          <w:between w:space="0" w:sz="0" w:val="nil"/>
        </w:pBdr>
        <w:spacing w:line="360" w:lineRule="auto"/>
        <w:rPr>
          <w:color w:val="000000"/>
          <w:sz w:val="24"/>
          <w:szCs w:val="24"/>
        </w:rPr>
      </w:pPr>
      <w:r w:rsidDel="00000000" w:rsidR="00000000" w:rsidRPr="00000000">
        <w:rPr>
          <w:color w:val="000000"/>
          <w:sz w:val="24"/>
          <w:szCs w:val="24"/>
          <w:rtl w:val="0"/>
        </w:rPr>
        <w:t xml:space="preserve">The results of this study will also provide an impetus for new studies on oral health aiming at a more in-depth understanding at the relevant steps to be taken to improve the same. Consequently, the study will be helping in the rally to achieving SDG 3.</w:t>
      </w:r>
    </w:p>
    <w:p w:rsidR="00000000" w:rsidDel="00000000" w:rsidP="00000000" w:rsidRDefault="00000000" w:rsidRPr="00000000" w14:paraId="00000138">
      <w:pPr>
        <w:spacing w:line="360" w:lineRule="auto"/>
        <w:rPr>
          <w:sz w:val="24"/>
          <w:szCs w:val="24"/>
        </w:rPr>
      </w:pPr>
      <w:r w:rsidDel="00000000" w:rsidR="00000000" w:rsidRPr="00000000">
        <w:rPr>
          <w:rtl w:val="0"/>
        </w:rPr>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rtl w:val="0"/>
        </w:rPr>
      </w:r>
    </w:p>
    <w:p w:rsidR="00000000" w:rsidDel="00000000" w:rsidP="00000000" w:rsidRDefault="00000000" w:rsidRPr="00000000" w14:paraId="0000013C">
      <w:pPr>
        <w:pStyle w:val="Heading1"/>
        <w:rPr/>
      </w:pPr>
      <w:r w:rsidDel="00000000" w:rsidR="00000000" w:rsidRPr="00000000">
        <w:rPr>
          <w:rtl w:val="0"/>
        </w:rPr>
        <w:t xml:space="preserve">SECTION FOUR: LIST OF ANNEXES</w:t>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pStyle w:val="Heading2"/>
        <w:rPr>
          <w:sz w:val="28"/>
          <w:szCs w:val="28"/>
        </w:rPr>
      </w:pPr>
      <w:r w:rsidDel="00000000" w:rsidR="00000000" w:rsidRPr="00000000">
        <w:rPr>
          <w:sz w:val="28"/>
          <w:szCs w:val="28"/>
          <w:rtl w:val="0"/>
        </w:rPr>
        <w:t xml:space="preserve">Annex 1: Work Plan:</w:t>
      </w:r>
    </w:p>
    <w:p w:rsidR="00000000" w:rsidDel="00000000" w:rsidP="00000000" w:rsidRDefault="00000000" w:rsidRPr="00000000" w14:paraId="0000013F">
      <w:pPr>
        <w:spacing w:after="120" w:lineRule="auto"/>
        <w:jc w:val="left"/>
        <w:rPr/>
      </w:pPr>
      <w:r w:rsidDel="00000000" w:rsidR="00000000" w:rsidRPr="00000000">
        <w:rPr>
          <w:rtl w:val="0"/>
        </w:rPr>
      </w:r>
    </w:p>
    <w:tbl>
      <w:tblPr>
        <w:tblStyle w:val="Table2"/>
        <w:tblW w:w="15264.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90"/>
        <w:gridCol w:w="3671"/>
        <w:gridCol w:w="318"/>
        <w:gridCol w:w="260"/>
        <w:gridCol w:w="324"/>
        <w:gridCol w:w="286"/>
        <w:gridCol w:w="287"/>
        <w:gridCol w:w="287"/>
        <w:gridCol w:w="288"/>
        <w:gridCol w:w="287"/>
        <w:gridCol w:w="288"/>
        <w:gridCol w:w="287"/>
        <w:gridCol w:w="288"/>
        <w:gridCol w:w="287"/>
        <w:gridCol w:w="288"/>
        <w:gridCol w:w="287"/>
        <w:gridCol w:w="288"/>
        <w:gridCol w:w="287"/>
        <w:gridCol w:w="288"/>
        <w:gridCol w:w="287"/>
        <w:gridCol w:w="288"/>
        <w:gridCol w:w="287"/>
        <w:gridCol w:w="288"/>
        <w:gridCol w:w="287"/>
        <w:gridCol w:w="288"/>
        <w:gridCol w:w="287"/>
        <w:gridCol w:w="282"/>
        <w:gridCol w:w="6"/>
        <w:gridCol w:w="287"/>
        <w:gridCol w:w="288"/>
        <w:gridCol w:w="287"/>
        <w:gridCol w:w="288"/>
        <w:gridCol w:w="287"/>
        <w:gridCol w:w="288"/>
        <w:gridCol w:w="250"/>
        <w:gridCol w:w="250"/>
        <w:gridCol w:w="250"/>
        <w:gridCol w:w="287"/>
        <w:gridCol w:w="288"/>
        <w:gridCol w:w="328"/>
        <w:tblGridChange w:id="0">
          <w:tblGrid>
            <w:gridCol w:w="990"/>
            <w:gridCol w:w="3671"/>
            <w:gridCol w:w="318"/>
            <w:gridCol w:w="260"/>
            <w:gridCol w:w="324"/>
            <w:gridCol w:w="286"/>
            <w:gridCol w:w="287"/>
            <w:gridCol w:w="287"/>
            <w:gridCol w:w="288"/>
            <w:gridCol w:w="287"/>
            <w:gridCol w:w="288"/>
            <w:gridCol w:w="287"/>
            <w:gridCol w:w="288"/>
            <w:gridCol w:w="287"/>
            <w:gridCol w:w="288"/>
            <w:gridCol w:w="287"/>
            <w:gridCol w:w="288"/>
            <w:gridCol w:w="287"/>
            <w:gridCol w:w="288"/>
            <w:gridCol w:w="287"/>
            <w:gridCol w:w="288"/>
            <w:gridCol w:w="287"/>
            <w:gridCol w:w="288"/>
            <w:gridCol w:w="287"/>
            <w:gridCol w:w="288"/>
            <w:gridCol w:w="287"/>
            <w:gridCol w:w="282"/>
            <w:gridCol w:w="6"/>
            <w:gridCol w:w="287"/>
            <w:gridCol w:w="288"/>
            <w:gridCol w:w="287"/>
            <w:gridCol w:w="288"/>
            <w:gridCol w:w="287"/>
            <w:gridCol w:w="288"/>
            <w:gridCol w:w="250"/>
            <w:gridCol w:w="250"/>
            <w:gridCol w:w="250"/>
            <w:gridCol w:w="287"/>
            <w:gridCol w:w="288"/>
            <w:gridCol w:w="328"/>
          </w:tblGrid>
        </w:tblGridChange>
      </w:tblGrid>
      <w:tr>
        <w:trPr>
          <w:cantSplit w:val="1"/>
          <w:trHeight w:val="516" w:hRule="atLeast"/>
          <w:tblHeader w:val="0"/>
        </w:trPr>
        <w:tc>
          <w:tcPr/>
          <w:p w:rsidR="00000000" w:rsidDel="00000000" w:rsidP="00000000" w:rsidRDefault="00000000" w:rsidRPr="00000000" w14:paraId="00000140">
            <w:pPr>
              <w:tabs>
                <w:tab w:val="center" w:pos="4680"/>
                <w:tab w:val="right" w:pos="9360"/>
              </w:tabs>
              <w:spacing w:after="120" w:before="120" w:lineRule="auto"/>
              <w:jc w:val="center"/>
              <w:rPr>
                <w:b w:val="1"/>
              </w:rPr>
            </w:pPr>
            <w:r w:rsidDel="00000000" w:rsidR="00000000" w:rsidRPr="00000000">
              <w:rPr>
                <w:b w:val="1"/>
                <w:rtl w:val="0"/>
              </w:rPr>
              <w:t xml:space="preserve">No</w:t>
            </w:r>
          </w:p>
        </w:tc>
        <w:tc>
          <w:tcPr/>
          <w:p w:rsidR="00000000" w:rsidDel="00000000" w:rsidP="00000000" w:rsidRDefault="00000000" w:rsidRPr="00000000" w14:paraId="00000141">
            <w:pPr>
              <w:jc w:val="center"/>
              <w:rPr>
                <w:b w:val="1"/>
              </w:rPr>
            </w:pPr>
            <w:r w:rsidDel="00000000" w:rsidR="00000000" w:rsidRPr="00000000">
              <w:rPr>
                <w:b w:val="1"/>
                <w:rtl w:val="0"/>
              </w:rPr>
              <w:t xml:space="preserve">ACTIVITY</w:t>
            </w:r>
          </w:p>
        </w:tc>
        <w:tc>
          <w:tcPr>
            <w:gridSpan w:val="12"/>
            <w:tcBorders>
              <w:bottom w:color="000000" w:space="0" w:sz="4" w:val="single"/>
            </w:tcBorders>
            <w:shd w:fill="d9d9d9" w:val="clear"/>
          </w:tcPr>
          <w:p w:rsidR="00000000" w:rsidDel="00000000" w:rsidP="00000000" w:rsidRDefault="00000000" w:rsidRPr="00000000" w14:paraId="00000142">
            <w:pPr>
              <w:tabs>
                <w:tab w:val="center" w:pos="4680"/>
                <w:tab w:val="right" w:pos="9360"/>
              </w:tabs>
              <w:spacing w:after="120" w:before="120" w:lineRule="auto"/>
              <w:jc w:val="center"/>
              <w:rPr>
                <w:b w:val="1"/>
              </w:rPr>
            </w:pPr>
            <w:r w:rsidDel="00000000" w:rsidR="00000000" w:rsidRPr="00000000">
              <w:rPr>
                <w:b w:val="1"/>
                <w:rtl w:val="0"/>
              </w:rPr>
              <w:t xml:space="preserve">2023</w:t>
            </w:r>
          </w:p>
        </w:tc>
        <w:tc>
          <w:tcPr>
            <w:gridSpan w:val="13"/>
            <w:tcBorders>
              <w:bottom w:color="000000" w:space="0" w:sz="4" w:val="single"/>
            </w:tcBorders>
            <w:shd w:fill="d9d9d9" w:val="clear"/>
          </w:tcPr>
          <w:p w:rsidR="00000000" w:rsidDel="00000000" w:rsidP="00000000" w:rsidRDefault="00000000" w:rsidRPr="00000000" w14:paraId="0000014E">
            <w:pPr>
              <w:tabs>
                <w:tab w:val="center" w:pos="4680"/>
                <w:tab w:val="right" w:pos="9360"/>
              </w:tabs>
              <w:spacing w:after="120" w:before="120" w:lineRule="auto"/>
              <w:jc w:val="center"/>
              <w:rPr>
                <w:b w:val="1"/>
              </w:rPr>
            </w:pPr>
            <w:r w:rsidDel="00000000" w:rsidR="00000000" w:rsidRPr="00000000">
              <w:rPr>
                <w:b w:val="1"/>
                <w:rtl w:val="0"/>
              </w:rPr>
              <w:t xml:space="preserve">2024</w:t>
            </w:r>
          </w:p>
        </w:tc>
        <w:tc>
          <w:tcPr>
            <w:gridSpan w:val="13"/>
            <w:tcBorders>
              <w:bottom w:color="000000" w:space="0" w:sz="4" w:val="single"/>
            </w:tcBorders>
            <w:shd w:fill="d9d9d9" w:val="clear"/>
          </w:tcPr>
          <w:p w:rsidR="00000000" w:rsidDel="00000000" w:rsidP="00000000" w:rsidRDefault="00000000" w:rsidRPr="00000000" w14:paraId="0000015B">
            <w:pPr>
              <w:tabs>
                <w:tab w:val="center" w:pos="4680"/>
                <w:tab w:val="right" w:pos="9360"/>
              </w:tabs>
              <w:spacing w:after="120" w:before="120" w:lineRule="auto"/>
              <w:jc w:val="center"/>
              <w:rPr>
                <w:b w:val="1"/>
              </w:rPr>
            </w:pPr>
            <w:r w:rsidDel="00000000" w:rsidR="00000000" w:rsidRPr="00000000">
              <w:rPr>
                <w:b w:val="1"/>
                <w:rtl w:val="0"/>
              </w:rPr>
              <w:t xml:space="preserve">2025</w:t>
            </w:r>
          </w:p>
        </w:tc>
      </w:tr>
      <w:tr>
        <w:trPr>
          <w:cantSplit w:val="1"/>
          <w:trHeight w:val="252" w:hRule="atLeast"/>
          <w:tblHeader w:val="0"/>
        </w:trPr>
        <w:tc>
          <w:tcPr/>
          <w:p w:rsidR="00000000" w:rsidDel="00000000" w:rsidP="00000000" w:rsidRDefault="00000000" w:rsidRPr="00000000" w14:paraId="00000168">
            <w:pPr>
              <w:tabs>
                <w:tab w:val="center" w:pos="4680"/>
                <w:tab w:val="right" w:pos="9360"/>
              </w:tabs>
              <w:spacing w:after="120" w:before="120" w:lineRule="auto"/>
              <w:jc w:val="left"/>
              <w:rPr>
                <w:b w:val="1"/>
              </w:rPr>
            </w:pPr>
            <w:r w:rsidDel="00000000" w:rsidR="00000000" w:rsidRPr="00000000">
              <w:rPr>
                <w:rtl w:val="0"/>
              </w:rPr>
            </w:r>
          </w:p>
        </w:tc>
        <w:tc>
          <w:tcPr/>
          <w:p w:rsidR="00000000" w:rsidDel="00000000" w:rsidP="00000000" w:rsidRDefault="00000000" w:rsidRPr="00000000" w14:paraId="00000169">
            <w:pPr>
              <w:jc w:val="left"/>
              <w:rPr>
                <w:b w:val="1"/>
              </w:rPr>
            </w:pPr>
            <w:r w:rsidDel="00000000" w:rsidR="00000000" w:rsidRPr="00000000">
              <w:rPr>
                <w:rtl w:val="0"/>
              </w:rPr>
            </w:r>
          </w:p>
        </w:tc>
        <w:tc>
          <w:tcPr>
            <w:tcBorders>
              <w:bottom w:color="000000" w:space="0" w:sz="4" w:val="single"/>
            </w:tcBorders>
            <w:shd w:fill="d9d9d9" w:val="clear"/>
          </w:tcPr>
          <w:p w:rsidR="00000000" w:rsidDel="00000000" w:rsidP="00000000" w:rsidRDefault="00000000" w:rsidRPr="00000000" w14:paraId="0000016A">
            <w:pPr>
              <w:spacing w:after="120" w:before="120" w:lineRule="auto"/>
              <w:jc w:val="left"/>
              <w:rPr>
                <w:b w:val="1"/>
              </w:rPr>
            </w:pPr>
            <w:r w:rsidDel="00000000" w:rsidR="00000000" w:rsidRPr="00000000">
              <w:rPr>
                <w:b w:val="1"/>
                <w:rtl w:val="0"/>
              </w:rPr>
              <w:t xml:space="preserve">J</w:t>
            </w:r>
          </w:p>
        </w:tc>
        <w:tc>
          <w:tcPr>
            <w:tcBorders>
              <w:bottom w:color="000000" w:space="0" w:sz="4" w:val="single"/>
            </w:tcBorders>
            <w:shd w:fill="d9d9d9" w:val="clear"/>
          </w:tcPr>
          <w:p w:rsidR="00000000" w:rsidDel="00000000" w:rsidP="00000000" w:rsidRDefault="00000000" w:rsidRPr="00000000" w14:paraId="0000016B">
            <w:pPr>
              <w:spacing w:after="120" w:before="120" w:lineRule="auto"/>
              <w:jc w:val="left"/>
              <w:rPr>
                <w:b w:val="1"/>
              </w:rPr>
            </w:pPr>
            <w:r w:rsidDel="00000000" w:rsidR="00000000" w:rsidRPr="00000000">
              <w:rPr>
                <w:b w:val="1"/>
                <w:rtl w:val="0"/>
              </w:rPr>
              <w:t xml:space="preserve">F</w:t>
            </w:r>
          </w:p>
        </w:tc>
        <w:tc>
          <w:tcPr>
            <w:tcBorders>
              <w:bottom w:color="000000" w:space="0" w:sz="4" w:val="single"/>
            </w:tcBorders>
            <w:shd w:fill="d9d9d9" w:val="clear"/>
          </w:tcPr>
          <w:p w:rsidR="00000000" w:rsidDel="00000000" w:rsidP="00000000" w:rsidRDefault="00000000" w:rsidRPr="00000000" w14:paraId="0000016C">
            <w:pPr>
              <w:spacing w:after="120" w:before="120" w:lineRule="auto"/>
              <w:jc w:val="left"/>
              <w:rPr>
                <w:b w:val="1"/>
              </w:rPr>
            </w:pPr>
            <w:r w:rsidDel="00000000" w:rsidR="00000000" w:rsidRPr="00000000">
              <w:rPr>
                <w:b w:val="1"/>
                <w:rtl w:val="0"/>
              </w:rPr>
              <w:t xml:space="preserve">M</w:t>
            </w:r>
          </w:p>
        </w:tc>
        <w:tc>
          <w:tcPr>
            <w:tcBorders>
              <w:bottom w:color="000000" w:space="0" w:sz="4" w:val="single"/>
            </w:tcBorders>
            <w:shd w:fill="d9d9d9" w:val="clear"/>
          </w:tcPr>
          <w:p w:rsidR="00000000" w:rsidDel="00000000" w:rsidP="00000000" w:rsidRDefault="00000000" w:rsidRPr="00000000" w14:paraId="0000016D">
            <w:pPr>
              <w:spacing w:after="120" w:before="120" w:lineRule="auto"/>
              <w:jc w:val="left"/>
              <w:rPr>
                <w:b w:val="1"/>
              </w:rPr>
            </w:pPr>
            <w:r w:rsidDel="00000000" w:rsidR="00000000" w:rsidRPr="00000000">
              <w:rPr>
                <w:b w:val="1"/>
                <w:rtl w:val="0"/>
              </w:rPr>
              <w:t xml:space="preserve">A</w:t>
            </w:r>
          </w:p>
        </w:tc>
        <w:tc>
          <w:tcPr>
            <w:tcBorders>
              <w:bottom w:color="000000" w:space="0" w:sz="4" w:val="single"/>
            </w:tcBorders>
            <w:shd w:fill="d9d9d9" w:val="clear"/>
          </w:tcPr>
          <w:p w:rsidR="00000000" w:rsidDel="00000000" w:rsidP="00000000" w:rsidRDefault="00000000" w:rsidRPr="00000000" w14:paraId="0000016E">
            <w:pPr>
              <w:spacing w:after="120" w:before="120" w:lineRule="auto"/>
              <w:jc w:val="left"/>
              <w:rPr>
                <w:b w:val="1"/>
              </w:rPr>
            </w:pPr>
            <w:r w:rsidDel="00000000" w:rsidR="00000000" w:rsidRPr="00000000">
              <w:rPr>
                <w:b w:val="1"/>
                <w:rtl w:val="0"/>
              </w:rPr>
              <w:t xml:space="preserve">M</w:t>
            </w:r>
          </w:p>
        </w:tc>
        <w:tc>
          <w:tcPr>
            <w:tcBorders>
              <w:bottom w:color="000000" w:space="0" w:sz="4" w:val="single"/>
            </w:tcBorders>
            <w:shd w:fill="d9d9d9" w:val="clear"/>
          </w:tcPr>
          <w:p w:rsidR="00000000" w:rsidDel="00000000" w:rsidP="00000000" w:rsidRDefault="00000000" w:rsidRPr="00000000" w14:paraId="0000016F">
            <w:pPr>
              <w:spacing w:after="120" w:before="120" w:lineRule="auto"/>
              <w:jc w:val="left"/>
              <w:rPr>
                <w:b w:val="1"/>
              </w:rPr>
            </w:pPr>
            <w:r w:rsidDel="00000000" w:rsidR="00000000" w:rsidRPr="00000000">
              <w:rPr>
                <w:b w:val="1"/>
                <w:rtl w:val="0"/>
              </w:rPr>
              <w:t xml:space="preserve">J</w:t>
            </w:r>
          </w:p>
        </w:tc>
        <w:tc>
          <w:tcPr>
            <w:tcBorders>
              <w:bottom w:color="000000" w:space="0" w:sz="4" w:val="single"/>
            </w:tcBorders>
            <w:shd w:fill="d9d9d9" w:val="clear"/>
          </w:tcPr>
          <w:p w:rsidR="00000000" w:rsidDel="00000000" w:rsidP="00000000" w:rsidRDefault="00000000" w:rsidRPr="00000000" w14:paraId="00000170">
            <w:pPr>
              <w:spacing w:after="120" w:before="120" w:lineRule="auto"/>
              <w:jc w:val="left"/>
              <w:rPr>
                <w:b w:val="1"/>
              </w:rPr>
            </w:pPr>
            <w:r w:rsidDel="00000000" w:rsidR="00000000" w:rsidRPr="00000000">
              <w:rPr>
                <w:b w:val="1"/>
                <w:rtl w:val="0"/>
              </w:rPr>
              <w:t xml:space="preserve">J</w:t>
            </w:r>
          </w:p>
        </w:tc>
        <w:tc>
          <w:tcPr>
            <w:tcBorders>
              <w:bottom w:color="000000" w:space="0" w:sz="4" w:val="single"/>
            </w:tcBorders>
            <w:shd w:fill="d9d9d9" w:val="clear"/>
          </w:tcPr>
          <w:p w:rsidR="00000000" w:rsidDel="00000000" w:rsidP="00000000" w:rsidRDefault="00000000" w:rsidRPr="00000000" w14:paraId="00000171">
            <w:pPr>
              <w:spacing w:after="120" w:before="120" w:lineRule="auto"/>
              <w:jc w:val="left"/>
              <w:rPr>
                <w:b w:val="1"/>
              </w:rPr>
            </w:pPr>
            <w:r w:rsidDel="00000000" w:rsidR="00000000" w:rsidRPr="00000000">
              <w:rPr>
                <w:b w:val="1"/>
                <w:rtl w:val="0"/>
              </w:rPr>
              <w:t xml:space="preserve">A</w:t>
            </w:r>
          </w:p>
        </w:tc>
        <w:tc>
          <w:tcPr>
            <w:tcBorders>
              <w:bottom w:color="000000" w:space="0" w:sz="4" w:val="single"/>
            </w:tcBorders>
            <w:shd w:fill="d9d9d9" w:val="clear"/>
          </w:tcPr>
          <w:p w:rsidR="00000000" w:rsidDel="00000000" w:rsidP="00000000" w:rsidRDefault="00000000" w:rsidRPr="00000000" w14:paraId="00000172">
            <w:pPr>
              <w:spacing w:after="120" w:before="120" w:lineRule="auto"/>
              <w:jc w:val="left"/>
              <w:rPr>
                <w:b w:val="1"/>
              </w:rPr>
            </w:pPr>
            <w:r w:rsidDel="00000000" w:rsidR="00000000" w:rsidRPr="00000000">
              <w:rPr>
                <w:b w:val="1"/>
                <w:rtl w:val="0"/>
              </w:rPr>
              <w:t xml:space="preserve">S</w:t>
            </w:r>
          </w:p>
        </w:tc>
        <w:tc>
          <w:tcPr>
            <w:tcBorders>
              <w:bottom w:color="000000" w:space="0" w:sz="4" w:val="single"/>
            </w:tcBorders>
            <w:shd w:fill="d9d9d9" w:val="clear"/>
          </w:tcPr>
          <w:p w:rsidR="00000000" w:rsidDel="00000000" w:rsidP="00000000" w:rsidRDefault="00000000" w:rsidRPr="00000000" w14:paraId="00000173">
            <w:pPr>
              <w:spacing w:after="120" w:before="120" w:lineRule="auto"/>
              <w:jc w:val="left"/>
              <w:rPr>
                <w:b w:val="1"/>
              </w:rPr>
            </w:pPr>
            <w:r w:rsidDel="00000000" w:rsidR="00000000" w:rsidRPr="00000000">
              <w:rPr>
                <w:b w:val="1"/>
                <w:rtl w:val="0"/>
              </w:rPr>
              <w:t xml:space="preserve">O</w:t>
            </w:r>
          </w:p>
        </w:tc>
        <w:tc>
          <w:tcPr>
            <w:tcBorders>
              <w:bottom w:color="000000" w:space="0" w:sz="4" w:val="single"/>
            </w:tcBorders>
            <w:shd w:fill="d9d9d9" w:val="clear"/>
          </w:tcPr>
          <w:p w:rsidR="00000000" w:rsidDel="00000000" w:rsidP="00000000" w:rsidRDefault="00000000" w:rsidRPr="00000000" w14:paraId="00000174">
            <w:pPr>
              <w:spacing w:after="120" w:before="120" w:lineRule="auto"/>
              <w:jc w:val="left"/>
              <w:rPr>
                <w:b w:val="1"/>
              </w:rPr>
            </w:pPr>
            <w:r w:rsidDel="00000000" w:rsidR="00000000" w:rsidRPr="00000000">
              <w:rPr>
                <w:b w:val="1"/>
                <w:rtl w:val="0"/>
              </w:rPr>
              <w:t xml:space="preserve">N</w:t>
            </w:r>
          </w:p>
        </w:tc>
        <w:tc>
          <w:tcPr>
            <w:tcBorders>
              <w:bottom w:color="000000" w:space="0" w:sz="4" w:val="single"/>
            </w:tcBorders>
            <w:shd w:fill="d9d9d9" w:val="clear"/>
          </w:tcPr>
          <w:p w:rsidR="00000000" w:rsidDel="00000000" w:rsidP="00000000" w:rsidRDefault="00000000" w:rsidRPr="00000000" w14:paraId="00000175">
            <w:pPr>
              <w:tabs>
                <w:tab w:val="center" w:pos="4680"/>
                <w:tab w:val="right" w:pos="9360"/>
              </w:tabs>
              <w:spacing w:after="120" w:before="120" w:lineRule="auto"/>
              <w:jc w:val="left"/>
              <w:rPr>
                <w:b w:val="1"/>
              </w:rPr>
            </w:pPr>
            <w:r w:rsidDel="00000000" w:rsidR="00000000" w:rsidRPr="00000000">
              <w:rPr>
                <w:b w:val="1"/>
                <w:rtl w:val="0"/>
              </w:rPr>
              <w:t xml:space="preserve">D</w:t>
            </w:r>
          </w:p>
        </w:tc>
        <w:tc>
          <w:tcPr>
            <w:tcBorders>
              <w:bottom w:color="000000" w:space="0" w:sz="4" w:val="single"/>
            </w:tcBorders>
            <w:shd w:fill="d9d9d9" w:val="clear"/>
          </w:tcPr>
          <w:p w:rsidR="00000000" w:rsidDel="00000000" w:rsidP="00000000" w:rsidRDefault="00000000" w:rsidRPr="00000000" w14:paraId="00000176">
            <w:pPr>
              <w:tabs>
                <w:tab w:val="center" w:pos="4680"/>
                <w:tab w:val="right" w:pos="9360"/>
              </w:tabs>
              <w:spacing w:after="120" w:before="120" w:lineRule="auto"/>
              <w:jc w:val="left"/>
              <w:rPr>
                <w:b w:val="1"/>
              </w:rPr>
            </w:pPr>
            <w:r w:rsidDel="00000000" w:rsidR="00000000" w:rsidRPr="00000000">
              <w:rPr>
                <w:b w:val="1"/>
                <w:rtl w:val="0"/>
              </w:rPr>
              <w:t xml:space="preserve">J</w:t>
            </w:r>
          </w:p>
        </w:tc>
        <w:tc>
          <w:tcPr>
            <w:tcBorders>
              <w:bottom w:color="000000" w:space="0" w:sz="4" w:val="single"/>
            </w:tcBorders>
            <w:shd w:fill="d9d9d9" w:val="clear"/>
          </w:tcPr>
          <w:p w:rsidR="00000000" w:rsidDel="00000000" w:rsidP="00000000" w:rsidRDefault="00000000" w:rsidRPr="00000000" w14:paraId="00000177">
            <w:pPr>
              <w:tabs>
                <w:tab w:val="center" w:pos="4680"/>
                <w:tab w:val="right" w:pos="9360"/>
              </w:tabs>
              <w:spacing w:after="120" w:before="120" w:lineRule="auto"/>
              <w:jc w:val="left"/>
              <w:rPr>
                <w:b w:val="1"/>
              </w:rPr>
            </w:pPr>
            <w:r w:rsidDel="00000000" w:rsidR="00000000" w:rsidRPr="00000000">
              <w:rPr>
                <w:b w:val="1"/>
                <w:rtl w:val="0"/>
              </w:rPr>
              <w:t xml:space="preserve">J</w:t>
            </w:r>
          </w:p>
        </w:tc>
        <w:tc>
          <w:tcPr>
            <w:tcBorders>
              <w:bottom w:color="000000" w:space="0" w:sz="4" w:val="single"/>
            </w:tcBorders>
            <w:shd w:fill="d9d9d9" w:val="clear"/>
          </w:tcPr>
          <w:p w:rsidR="00000000" w:rsidDel="00000000" w:rsidP="00000000" w:rsidRDefault="00000000" w:rsidRPr="00000000" w14:paraId="00000178">
            <w:pPr>
              <w:tabs>
                <w:tab w:val="center" w:pos="4680"/>
                <w:tab w:val="right" w:pos="9360"/>
              </w:tabs>
              <w:spacing w:after="120" w:before="120" w:lineRule="auto"/>
              <w:jc w:val="left"/>
              <w:rPr>
                <w:b w:val="1"/>
              </w:rPr>
            </w:pPr>
            <w:r w:rsidDel="00000000" w:rsidR="00000000" w:rsidRPr="00000000">
              <w:rPr>
                <w:b w:val="1"/>
                <w:rtl w:val="0"/>
              </w:rPr>
              <w:t xml:space="preserve">F</w:t>
            </w:r>
          </w:p>
        </w:tc>
        <w:tc>
          <w:tcPr>
            <w:tcBorders>
              <w:bottom w:color="000000" w:space="0" w:sz="4" w:val="single"/>
            </w:tcBorders>
            <w:shd w:fill="d9d9d9" w:val="clear"/>
          </w:tcPr>
          <w:p w:rsidR="00000000" w:rsidDel="00000000" w:rsidP="00000000" w:rsidRDefault="00000000" w:rsidRPr="00000000" w14:paraId="00000179">
            <w:pPr>
              <w:tabs>
                <w:tab w:val="center" w:pos="4680"/>
                <w:tab w:val="right" w:pos="9360"/>
              </w:tabs>
              <w:spacing w:after="120" w:before="120" w:lineRule="auto"/>
              <w:jc w:val="left"/>
              <w:rPr>
                <w:b w:val="1"/>
              </w:rPr>
            </w:pPr>
            <w:r w:rsidDel="00000000" w:rsidR="00000000" w:rsidRPr="00000000">
              <w:rPr>
                <w:b w:val="1"/>
                <w:rtl w:val="0"/>
              </w:rPr>
              <w:t xml:space="preserve">M</w:t>
            </w:r>
          </w:p>
        </w:tc>
        <w:tc>
          <w:tcPr>
            <w:tcBorders>
              <w:bottom w:color="000000" w:space="0" w:sz="4" w:val="single"/>
            </w:tcBorders>
            <w:shd w:fill="d9d9d9" w:val="clear"/>
          </w:tcPr>
          <w:p w:rsidR="00000000" w:rsidDel="00000000" w:rsidP="00000000" w:rsidRDefault="00000000" w:rsidRPr="00000000" w14:paraId="0000017A">
            <w:pPr>
              <w:tabs>
                <w:tab w:val="center" w:pos="4680"/>
                <w:tab w:val="right" w:pos="9360"/>
              </w:tabs>
              <w:spacing w:after="120" w:before="120" w:lineRule="auto"/>
              <w:jc w:val="left"/>
              <w:rPr>
                <w:b w:val="1"/>
              </w:rPr>
            </w:pPr>
            <w:r w:rsidDel="00000000" w:rsidR="00000000" w:rsidRPr="00000000">
              <w:rPr>
                <w:b w:val="1"/>
                <w:rtl w:val="0"/>
              </w:rPr>
              <w:t xml:space="preserve">A</w:t>
            </w:r>
          </w:p>
        </w:tc>
        <w:tc>
          <w:tcPr>
            <w:tcBorders>
              <w:bottom w:color="000000" w:space="0" w:sz="4" w:val="single"/>
            </w:tcBorders>
            <w:shd w:fill="d9d9d9" w:val="clear"/>
          </w:tcPr>
          <w:p w:rsidR="00000000" w:rsidDel="00000000" w:rsidP="00000000" w:rsidRDefault="00000000" w:rsidRPr="00000000" w14:paraId="0000017B">
            <w:pPr>
              <w:tabs>
                <w:tab w:val="center" w:pos="4680"/>
                <w:tab w:val="right" w:pos="9360"/>
              </w:tabs>
              <w:spacing w:after="120" w:before="120" w:lineRule="auto"/>
              <w:jc w:val="left"/>
              <w:rPr>
                <w:b w:val="1"/>
              </w:rPr>
            </w:pPr>
            <w:r w:rsidDel="00000000" w:rsidR="00000000" w:rsidRPr="00000000">
              <w:rPr>
                <w:b w:val="1"/>
                <w:rtl w:val="0"/>
              </w:rPr>
              <w:t xml:space="preserve">M</w:t>
            </w:r>
          </w:p>
        </w:tc>
        <w:tc>
          <w:tcPr>
            <w:tcBorders>
              <w:bottom w:color="000000" w:space="0" w:sz="4" w:val="single"/>
            </w:tcBorders>
            <w:shd w:fill="d9d9d9" w:val="clear"/>
          </w:tcPr>
          <w:p w:rsidR="00000000" w:rsidDel="00000000" w:rsidP="00000000" w:rsidRDefault="00000000" w:rsidRPr="00000000" w14:paraId="0000017C">
            <w:pPr>
              <w:tabs>
                <w:tab w:val="center" w:pos="4680"/>
                <w:tab w:val="right" w:pos="9360"/>
              </w:tabs>
              <w:spacing w:after="120" w:before="120" w:lineRule="auto"/>
              <w:jc w:val="left"/>
              <w:rPr>
                <w:b w:val="1"/>
              </w:rPr>
            </w:pPr>
            <w:r w:rsidDel="00000000" w:rsidR="00000000" w:rsidRPr="00000000">
              <w:rPr>
                <w:b w:val="1"/>
                <w:rtl w:val="0"/>
              </w:rPr>
              <w:t xml:space="preserve">J</w:t>
            </w:r>
          </w:p>
        </w:tc>
        <w:tc>
          <w:tcPr>
            <w:tcBorders>
              <w:bottom w:color="000000" w:space="0" w:sz="4" w:val="single"/>
            </w:tcBorders>
            <w:shd w:fill="d9d9d9" w:val="clear"/>
          </w:tcPr>
          <w:p w:rsidR="00000000" w:rsidDel="00000000" w:rsidP="00000000" w:rsidRDefault="00000000" w:rsidRPr="00000000" w14:paraId="0000017D">
            <w:pPr>
              <w:tabs>
                <w:tab w:val="center" w:pos="4680"/>
                <w:tab w:val="right" w:pos="9360"/>
              </w:tabs>
              <w:spacing w:after="120" w:before="120" w:lineRule="auto"/>
              <w:jc w:val="left"/>
              <w:rPr>
                <w:b w:val="1"/>
              </w:rPr>
            </w:pPr>
            <w:r w:rsidDel="00000000" w:rsidR="00000000" w:rsidRPr="00000000">
              <w:rPr>
                <w:b w:val="1"/>
                <w:rtl w:val="0"/>
              </w:rPr>
              <w:t xml:space="preserve">J</w:t>
            </w:r>
          </w:p>
        </w:tc>
        <w:tc>
          <w:tcPr>
            <w:tcBorders>
              <w:bottom w:color="000000" w:space="0" w:sz="4" w:val="single"/>
            </w:tcBorders>
            <w:shd w:fill="d9d9d9" w:val="clear"/>
          </w:tcPr>
          <w:p w:rsidR="00000000" w:rsidDel="00000000" w:rsidP="00000000" w:rsidRDefault="00000000" w:rsidRPr="00000000" w14:paraId="0000017E">
            <w:pPr>
              <w:tabs>
                <w:tab w:val="center" w:pos="4680"/>
                <w:tab w:val="right" w:pos="9360"/>
              </w:tabs>
              <w:spacing w:after="120" w:before="120" w:lineRule="auto"/>
              <w:jc w:val="left"/>
              <w:rPr>
                <w:b w:val="1"/>
              </w:rPr>
            </w:pPr>
            <w:r w:rsidDel="00000000" w:rsidR="00000000" w:rsidRPr="00000000">
              <w:rPr>
                <w:b w:val="1"/>
                <w:rtl w:val="0"/>
              </w:rPr>
              <w:t xml:space="preserve">A</w:t>
            </w:r>
          </w:p>
        </w:tc>
        <w:tc>
          <w:tcPr>
            <w:tcBorders>
              <w:bottom w:color="000000" w:space="0" w:sz="4" w:val="single"/>
            </w:tcBorders>
            <w:shd w:fill="d9d9d9" w:val="clear"/>
          </w:tcPr>
          <w:p w:rsidR="00000000" w:rsidDel="00000000" w:rsidP="00000000" w:rsidRDefault="00000000" w:rsidRPr="00000000" w14:paraId="0000017F">
            <w:pPr>
              <w:tabs>
                <w:tab w:val="center" w:pos="4680"/>
                <w:tab w:val="right" w:pos="9360"/>
              </w:tabs>
              <w:spacing w:after="120" w:before="120" w:lineRule="auto"/>
              <w:jc w:val="left"/>
              <w:rPr>
                <w:b w:val="1"/>
              </w:rPr>
            </w:pPr>
            <w:r w:rsidDel="00000000" w:rsidR="00000000" w:rsidRPr="00000000">
              <w:rPr>
                <w:b w:val="1"/>
                <w:rtl w:val="0"/>
              </w:rPr>
              <w:t xml:space="preserve">S</w:t>
            </w:r>
          </w:p>
        </w:tc>
        <w:tc>
          <w:tcPr>
            <w:tcBorders>
              <w:bottom w:color="000000" w:space="0" w:sz="4" w:val="single"/>
            </w:tcBorders>
            <w:shd w:fill="d9d9d9" w:val="clear"/>
          </w:tcPr>
          <w:p w:rsidR="00000000" w:rsidDel="00000000" w:rsidP="00000000" w:rsidRDefault="00000000" w:rsidRPr="00000000" w14:paraId="00000180">
            <w:pPr>
              <w:tabs>
                <w:tab w:val="center" w:pos="4680"/>
                <w:tab w:val="right" w:pos="9360"/>
              </w:tabs>
              <w:spacing w:after="120" w:before="120" w:lineRule="auto"/>
              <w:jc w:val="left"/>
              <w:rPr>
                <w:b w:val="1"/>
              </w:rPr>
            </w:pPr>
            <w:r w:rsidDel="00000000" w:rsidR="00000000" w:rsidRPr="00000000">
              <w:rPr>
                <w:b w:val="1"/>
                <w:rtl w:val="0"/>
              </w:rPr>
              <w:t xml:space="preserve">O</w:t>
            </w:r>
          </w:p>
        </w:tc>
        <w:tc>
          <w:tcPr>
            <w:tcBorders>
              <w:bottom w:color="000000" w:space="0" w:sz="4" w:val="single"/>
            </w:tcBorders>
            <w:shd w:fill="d9d9d9" w:val="clear"/>
          </w:tcPr>
          <w:p w:rsidR="00000000" w:rsidDel="00000000" w:rsidP="00000000" w:rsidRDefault="00000000" w:rsidRPr="00000000" w14:paraId="00000181">
            <w:pPr>
              <w:tabs>
                <w:tab w:val="center" w:pos="4680"/>
                <w:tab w:val="right" w:pos="9360"/>
              </w:tabs>
              <w:spacing w:after="120" w:before="120" w:lineRule="auto"/>
              <w:jc w:val="left"/>
              <w:rPr>
                <w:b w:val="1"/>
              </w:rPr>
            </w:pPr>
            <w:r w:rsidDel="00000000" w:rsidR="00000000" w:rsidRPr="00000000">
              <w:rPr>
                <w:b w:val="1"/>
                <w:rtl w:val="0"/>
              </w:rPr>
              <w:t xml:space="preserve">N</w:t>
            </w:r>
          </w:p>
        </w:tc>
        <w:tc>
          <w:tcPr>
            <w:gridSpan w:val="2"/>
            <w:tcBorders>
              <w:bottom w:color="000000" w:space="0" w:sz="4" w:val="single"/>
            </w:tcBorders>
            <w:shd w:fill="d9d9d9" w:val="clear"/>
          </w:tcPr>
          <w:p w:rsidR="00000000" w:rsidDel="00000000" w:rsidP="00000000" w:rsidRDefault="00000000" w:rsidRPr="00000000" w14:paraId="00000182">
            <w:pPr>
              <w:tabs>
                <w:tab w:val="center" w:pos="4680"/>
                <w:tab w:val="right" w:pos="9360"/>
              </w:tabs>
              <w:spacing w:after="120" w:before="120" w:lineRule="auto"/>
              <w:jc w:val="left"/>
              <w:rPr>
                <w:b w:val="1"/>
              </w:rPr>
            </w:pPr>
            <w:r w:rsidDel="00000000" w:rsidR="00000000" w:rsidRPr="00000000">
              <w:rPr>
                <w:b w:val="1"/>
                <w:rtl w:val="0"/>
              </w:rPr>
              <w:t xml:space="preserve">D</w:t>
            </w:r>
          </w:p>
        </w:tc>
        <w:tc>
          <w:tcPr>
            <w:tcBorders>
              <w:bottom w:color="000000" w:space="0" w:sz="4" w:val="single"/>
            </w:tcBorders>
            <w:shd w:fill="d9d9d9" w:val="clear"/>
          </w:tcPr>
          <w:p w:rsidR="00000000" w:rsidDel="00000000" w:rsidP="00000000" w:rsidRDefault="00000000" w:rsidRPr="00000000" w14:paraId="00000184">
            <w:pPr>
              <w:tabs>
                <w:tab w:val="center" w:pos="4680"/>
                <w:tab w:val="right" w:pos="9360"/>
              </w:tabs>
              <w:spacing w:after="120" w:before="120" w:lineRule="auto"/>
              <w:jc w:val="left"/>
              <w:rPr>
                <w:b w:val="1"/>
              </w:rPr>
            </w:pPr>
            <w:r w:rsidDel="00000000" w:rsidR="00000000" w:rsidRPr="00000000">
              <w:rPr>
                <w:b w:val="1"/>
                <w:rtl w:val="0"/>
              </w:rPr>
              <w:t xml:space="preserve">J</w:t>
            </w:r>
          </w:p>
        </w:tc>
        <w:tc>
          <w:tcPr>
            <w:tcBorders>
              <w:bottom w:color="000000" w:space="0" w:sz="4" w:val="single"/>
            </w:tcBorders>
            <w:shd w:fill="d9d9d9" w:val="clear"/>
          </w:tcPr>
          <w:p w:rsidR="00000000" w:rsidDel="00000000" w:rsidP="00000000" w:rsidRDefault="00000000" w:rsidRPr="00000000" w14:paraId="00000185">
            <w:pPr>
              <w:tabs>
                <w:tab w:val="center" w:pos="4680"/>
                <w:tab w:val="right" w:pos="9360"/>
              </w:tabs>
              <w:spacing w:after="120" w:before="120" w:lineRule="auto"/>
              <w:jc w:val="left"/>
              <w:rPr>
                <w:b w:val="1"/>
              </w:rPr>
            </w:pPr>
            <w:r w:rsidDel="00000000" w:rsidR="00000000" w:rsidRPr="00000000">
              <w:rPr>
                <w:b w:val="1"/>
                <w:rtl w:val="0"/>
              </w:rPr>
              <w:t xml:space="preserve">F</w:t>
            </w:r>
          </w:p>
        </w:tc>
        <w:tc>
          <w:tcPr>
            <w:tcBorders>
              <w:bottom w:color="000000" w:space="0" w:sz="4" w:val="single"/>
            </w:tcBorders>
            <w:shd w:fill="d9d9d9" w:val="clear"/>
          </w:tcPr>
          <w:p w:rsidR="00000000" w:rsidDel="00000000" w:rsidP="00000000" w:rsidRDefault="00000000" w:rsidRPr="00000000" w14:paraId="00000186">
            <w:pPr>
              <w:tabs>
                <w:tab w:val="center" w:pos="4680"/>
                <w:tab w:val="right" w:pos="9360"/>
              </w:tabs>
              <w:spacing w:after="120" w:before="120" w:lineRule="auto"/>
              <w:jc w:val="left"/>
              <w:rPr>
                <w:b w:val="1"/>
              </w:rPr>
            </w:pPr>
            <w:r w:rsidDel="00000000" w:rsidR="00000000" w:rsidRPr="00000000">
              <w:rPr>
                <w:b w:val="1"/>
                <w:rtl w:val="0"/>
              </w:rPr>
              <w:t xml:space="preserve">M</w:t>
            </w:r>
          </w:p>
        </w:tc>
        <w:tc>
          <w:tcPr>
            <w:tcBorders>
              <w:bottom w:color="000000" w:space="0" w:sz="4" w:val="single"/>
            </w:tcBorders>
            <w:shd w:fill="d9d9d9" w:val="clear"/>
          </w:tcPr>
          <w:p w:rsidR="00000000" w:rsidDel="00000000" w:rsidP="00000000" w:rsidRDefault="00000000" w:rsidRPr="00000000" w14:paraId="00000187">
            <w:pPr>
              <w:tabs>
                <w:tab w:val="center" w:pos="4680"/>
                <w:tab w:val="right" w:pos="9360"/>
              </w:tabs>
              <w:spacing w:after="120" w:before="120" w:lineRule="auto"/>
              <w:jc w:val="left"/>
              <w:rPr>
                <w:b w:val="1"/>
              </w:rPr>
            </w:pPr>
            <w:r w:rsidDel="00000000" w:rsidR="00000000" w:rsidRPr="00000000">
              <w:rPr>
                <w:b w:val="1"/>
                <w:rtl w:val="0"/>
              </w:rPr>
              <w:t xml:space="preserve">A</w:t>
            </w:r>
          </w:p>
        </w:tc>
        <w:tc>
          <w:tcPr>
            <w:tcBorders>
              <w:bottom w:color="000000" w:space="0" w:sz="4" w:val="single"/>
            </w:tcBorders>
            <w:shd w:fill="d9d9d9" w:val="clear"/>
          </w:tcPr>
          <w:p w:rsidR="00000000" w:rsidDel="00000000" w:rsidP="00000000" w:rsidRDefault="00000000" w:rsidRPr="00000000" w14:paraId="00000188">
            <w:pPr>
              <w:tabs>
                <w:tab w:val="center" w:pos="4680"/>
                <w:tab w:val="right" w:pos="9360"/>
              </w:tabs>
              <w:spacing w:after="120" w:before="120" w:lineRule="auto"/>
              <w:jc w:val="left"/>
              <w:rPr>
                <w:b w:val="1"/>
              </w:rPr>
            </w:pPr>
            <w:r w:rsidDel="00000000" w:rsidR="00000000" w:rsidRPr="00000000">
              <w:rPr>
                <w:b w:val="1"/>
                <w:rtl w:val="0"/>
              </w:rPr>
              <w:t xml:space="preserve">M</w:t>
            </w:r>
          </w:p>
        </w:tc>
        <w:tc>
          <w:tcPr>
            <w:tcBorders>
              <w:bottom w:color="000000" w:space="0" w:sz="4" w:val="single"/>
            </w:tcBorders>
            <w:shd w:fill="d9d9d9" w:val="clear"/>
          </w:tcPr>
          <w:p w:rsidR="00000000" w:rsidDel="00000000" w:rsidP="00000000" w:rsidRDefault="00000000" w:rsidRPr="00000000" w14:paraId="00000189">
            <w:pPr>
              <w:tabs>
                <w:tab w:val="center" w:pos="4680"/>
                <w:tab w:val="right" w:pos="9360"/>
              </w:tabs>
              <w:spacing w:after="120" w:before="120" w:lineRule="auto"/>
              <w:jc w:val="left"/>
              <w:rPr>
                <w:b w:val="1"/>
              </w:rPr>
            </w:pPr>
            <w:r w:rsidDel="00000000" w:rsidR="00000000" w:rsidRPr="00000000">
              <w:rPr>
                <w:b w:val="1"/>
                <w:rtl w:val="0"/>
              </w:rPr>
              <w:t xml:space="preserve">J</w:t>
            </w:r>
          </w:p>
        </w:tc>
        <w:tc>
          <w:tcPr>
            <w:tcBorders>
              <w:bottom w:color="000000" w:space="0" w:sz="4" w:val="single"/>
            </w:tcBorders>
            <w:shd w:fill="d9d9d9" w:val="clear"/>
          </w:tcPr>
          <w:p w:rsidR="00000000" w:rsidDel="00000000" w:rsidP="00000000" w:rsidRDefault="00000000" w:rsidRPr="00000000" w14:paraId="0000018A">
            <w:pPr>
              <w:tabs>
                <w:tab w:val="center" w:pos="4680"/>
                <w:tab w:val="right" w:pos="9360"/>
              </w:tabs>
              <w:spacing w:after="120" w:before="120" w:lineRule="auto"/>
              <w:jc w:val="left"/>
              <w:rPr>
                <w:b w:val="1"/>
              </w:rPr>
            </w:pPr>
            <w:r w:rsidDel="00000000" w:rsidR="00000000" w:rsidRPr="00000000">
              <w:rPr>
                <w:b w:val="1"/>
                <w:rtl w:val="0"/>
              </w:rPr>
              <w:t xml:space="preserve">J</w:t>
            </w:r>
          </w:p>
        </w:tc>
        <w:tc>
          <w:tcPr>
            <w:tcBorders>
              <w:bottom w:color="000000" w:space="0" w:sz="4" w:val="single"/>
            </w:tcBorders>
            <w:shd w:fill="d9d9d9" w:val="clear"/>
          </w:tcPr>
          <w:p w:rsidR="00000000" w:rsidDel="00000000" w:rsidP="00000000" w:rsidRDefault="00000000" w:rsidRPr="00000000" w14:paraId="0000018B">
            <w:pPr>
              <w:tabs>
                <w:tab w:val="center" w:pos="4680"/>
                <w:tab w:val="right" w:pos="9360"/>
              </w:tabs>
              <w:spacing w:after="120" w:before="120" w:lineRule="auto"/>
              <w:jc w:val="left"/>
              <w:rPr>
                <w:b w:val="1"/>
              </w:rPr>
            </w:pPr>
            <w:r w:rsidDel="00000000" w:rsidR="00000000" w:rsidRPr="00000000">
              <w:rPr>
                <w:b w:val="1"/>
                <w:rtl w:val="0"/>
              </w:rPr>
              <w:t xml:space="preserve">A</w:t>
            </w:r>
          </w:p>
        </w:tc>
        <w:tc>
          <w:tcPr>
            <w:tcBorders>
              <w:bottom w:color="000000" w:space="0" w:sz="4" w:val="single"/>
            </w:tcBorders>
            <w:shd w:fill="d9d9d9" w:val="clear"/>
          </w:tcPr>
          <w:p w:rsidR="00000000" w:rsidDel="00000000" w:rsidP="00000000" w:rsidRDefault="00000000" w:rsidRPr="00000000" w14:paraId="0000018C">
            <w:pPr>
              <w:tabs>
                <w:tab w:val="center" w:pos="4680"/>
                <w:tab w:val="right" w:pos="9360"/>
              </w:tabs>
              <w:spacing w:after="120" w:before="120" w:lineRule="auto"/>
              <w:jc w:val="left"/>
              <w:rPr>
                <w:b w:val="1"/>
              </w:rPr>
            </w:pPr>
            <w:r w:rsidDel="00000000" w:rsidR="00000000" w:rsidRPr="00000000">
              <w:rPr>
                <w:b w:val="1"/>
                <w:rtl w:val="0"/>
              </w:rPr>
              <w:t xml:space="preserve">S</w:t>
            </w:r>
          </w:p>
        </w:tc>
        <w:tc>
          <w:tcPr>
            <w:tcBorders>
              <w:bottom w:color="000000" w:space="0" w:sz="4" w:val="single"/>
            </w:tcBorders>
            <w:shd w:fill="d9d9d9" w:val="clear"/>
          </w:tcPr>
          <w:p w:rsidR="00000000" w:rsidDel="00000000" w:rsidP="00000000" w:rsidRDefault="00000000" w:rsidRPr="00000000" w14:paraId="0000018D">
            <w:pPr>
              <w:tabs>
                <w:tab w:val="center" w:pos="4680"/>
                <w:tab w:val="right" w:pos="9360"/>
              </w:tabs>
              <w:spacing w:after="120" w:before="120" w:lineRule="auto"/>
              <w:jc w:val="left"/>
              <w:rPr>
                <w:b w:val="1"/>
              </w:rPr>
            </w:pPr>
            <w:r w:rsidDel="00000000" w:rsidR="00000000" w:rsidRPr="00000000">
              <w:rPr>
                <w:b w:val="1"/>
                <w:rtl w:val="0"/>
              </w:rPr>
              <w:t xml:space="preserve">O</w:t>
            </w:r>
          </w:p>
        </w:tc>
        <w:tc>
          <w:tcPr>
            <w:tcBorders>
              <w:bottom w:color="000000" w:space="0" w:sz="4" w:val="single"/>
            </w:tcBorders>
            <w:shd w:fill="d9d9d9" w:val="clear"/>
          </w:tcPr>
          <w:p w:rsidR="00000000" w:rsidDel="00000000" w:rsidP="00000000" w:rsidRDefault="00000000" w:rsidRPr="00000000" w14:paraId="0000018E">
            <w:pPr>
              <w:tabs>
                <w:tab w:val="center" w:pos="4680"/>
                <w:tab w:val="right" w:pos="9360"/>
              </w:tabs>
              <w:spacing w:after="120" w:before="120" w:lineRule="auto"/>
              <w:jc w:val="left"/>
              <w:rPr>
                <w:b w:val="1"/>
              </w:rPr>
            </w:pPr>
            <w:r w:rsidDel="00000000" w:rsidR="00000000" w:rsidRPr="00000000">
              <w:rPr>
                <w:b w:val="1"/>
                <w:rtl w:val="0"/>
              </w:rPr>
              <w:t xml:space="preserve">N</w:t>
            </w:r>
          </w:p>
        </w:tc>
        <w:tc>
          <w:tcPr>
            <w:tcBorders>
              <w:bottom w:color="000000" w:space="0" w:sz="4" w:val="single"/>
            </w:tcBorders>
            <w:shd w:fill="d9d9d9" w:val="clear"/>
          </w:tcPr>
          <w:p w:rsidR="00000000" w:rsidDel="00000000" w:rsidP="00000000" w:rsidRDefault="00000000" w:rsidRPr="00000000" w14:paraId="0000018F">
            <w:pPr>
              <w:tabs>
                <w:tab w:val="center" w:pos="4680"/>
                <w:tab w:val="right" w:pos="9360"/>
              </w:tabs>
              <w:spacing w:after="120" w:before="120" w:lineRule="auto"/>
              <w:jc w:val="left"/>
              <w:rPr>
                <w:b w:val="1"/>
              </w:rPr>
            </w:pPr>
            <w:r w:rsidDel="00000000" w:rsidR="00000000" w:rsidRPr="00000000">
              <w:rPr>
                <w:b w:val="1"/>
                <w:rtl w:val="0"/>
              </w:rPr>
              <w:t xml:space="preserve">D</w:t>
            </w:r>
          </w:p>
        </w:tc>
      </w:tr>
      <w:tr>
        <w:trPr>
          <w:cantSplit w:val="1"/>
          <w:trHeight w:val="232" w:hRule="atLeast"/>
          <w:tblHeader w:val="0"/>
        </w:trPr>
        <w:tc>
          <w:tcPr/>
          <w:p w:rsidR="00000000" w:rsidDel="00000000" w:rsidP="00000000" w:rsidRDefault="00000000" w:rsidRPr="00000000" w14:paraId="00000190">
            <w:pPr>
              <w:spacing w:after="0" w:before="120" w:lineRule="auto"/>
              <w:jc w:val="left"/>
              <w:rPr/>
            </w:pPr>
            <w:r w:rsidDel="00000000" w:rsidR="00000000" w:rsidRPr="00000000">
              <w:rPr>
                <w:rtl w:val="0"/>
              </w:rPr>
              <w:t xml:space="preserve">1</w:t>
            </w:r>
          </w:p>
        </w:tc>
        <w:tc>
          <w:tcPr/>
          <w:p w:rsidR="00000000" w:rsidDel="00000000" w:rsidP="00000000" w:rsidRDefault="00000000" w:rsidRPr="00000000" w14:paraId="00000191">
            <w:pPr>
              <w:spacing w:after="0" w:before="120" w:lineRule="auto"/>
              <w:jc w:val="left"/>
              <w:rPr/>
            </w:pPr>
            <w:r w:rsidDel="00000000" w:rsidR="00000000" w:rsidRPr="00000000">
              <w:rPr>
                <w:rtl w:val="0"/>
              </w:rPr>
              <w:t xml:space="preserve">Literature Review</w:t>
            </w:r>
          </w:p>
        </w:tc>
        <w:tc>
          <w:tcPr>
            <w:tcBorders>
              <w:bottom w:color="000000" w:space="0" w:sz="4" w:val="single"/>
            </w:tcBorders>
            <w:shd w:fill="f4b083" w:val="clear"/>
          </w:tcPr>
          <w:p w:rsidR="00000000" w:rsidDel="00000000" w:rsidP="00000000" w:rsidRDefault="00000000" w:rsidRPr="00000000" w14:paraId="00000192">
            <w:pPr>
              <w:spacing w:after="0" w:before="120" w:lineRule="auto"/>
              <w:jc w:val="left"/>
              <w:rPr/>
            </w:pPr>
            <w:r w:rsidDel="00000000" w:rsidR="00000000" w:rsidRPr="00000000">
              <w:rPr>
                <w:rtl w:val="0"/>
              </w:rPr>
            </w:r>
          </w:p>
        </w:tc>
        <w:tc>
          <w:tcPr>
            <w:shd w:fill="f4b083" w:val="clear"/>
          </w:tcPr>
          <w:p w:rsidR="00000000" w:rsidDel="00000000" w:rsidP="00000000" w:rsidRDefault="00000000" w:rsidRPr="00000000" w14:paraId="00000193">
            <w:pPr>
              <w:spacing w:after="0" w:before="120" w:lineRule="auto"/>
              <w:jc w:val="left"/>
              <w:rPr/>
            </w:pPr>
            <w:r w:rsidDel="00000000" w:rsidR="00000000" w:rsidRPr="00000000">
              <w:rPr>
                <w:rtl w:val="0"/>
              </w:rPr>
            </w:r>
          </w:p>
        </w:tc>
        <w:tc>
          <w:tcPr>
            <w:tcBorders>
              <w:bottom w:color="000000" w:space="0" w:sz="4" w:val="single"/>
            </w:tcBorders>
            <w:shd w:fill="f4b083" w:val="clear"/>
          </w:tcPr>
          <w:p w:rsidR="00000000" w:rsidDel="00000000" w:rsidP="00000000" w:rsidRDefault="00000000" w:rsidRPr="00000000" w14:paraId="00000194">
            <w:pPr>
              <w:spacing w:after="0" w:before="120" w:lineRule="auto"/>
              <w:jc w:val="left"/>
              <w:rPr/>
            </w:pPr>
            <w:r w:rsidDel="00000000" w:rsidR="00000000" w:rsidRPr="00000000">
              <w:rPr>
                <w:rtl w:val="0"/>
              </w:rPr>
            </w:r>
          </w:p>
        </w:tc>
        <w:tc>
          <w:tcPr>
            <w:tcBorders>
              <w:bottom w:color="000000" w:space="0" w:sz="4" w:val="single"/>
            </w:tcBorders>
            <w:shd w:fill="f4b083" w:val="clear"/>
          </w:tcPr>
          <w:p w:rsidR="00000000" w:rsidDel="00000000" w:rsidP="00000000" w:rsidRDefault="00000000" w:rsidRPr="00000000" w14:paraId="00000195">
            <w:pPr>
              <w:spacing w:after="0" w:before="120" w:lineRule="auto"/>
              <w:jc w:val="left"/>
              <w:rPr/>
            </w:pPr>
            <w:r w:rsidDel="00000000" w:rsidR="00000000" w:rsidRPr="00000000">
              <w:rPr>
                <w:rtl w:val="0"/>
              </w:rPr>
            </w:r>
          </w:p>
        </w:tc>
        <w:tc>
          <w:tcPr>
            <w:shd w:fill="000000" w:val="clear"/>
          </w:tcPr>
          <w:p w:rsidR="00000000" w:rsidDel="00000000" w:rsidP="00000000" w:rsidRDefault="00000000" w:rsidRPr="00000000" w14:paraId="00000196">
            <w:pPr>
              <w:spacing w:after="0" w:before="120" w:lineRule="auto"/>
              <w:jc w:val="left"/>
              <w:rPr/>
            </w:pPr>
            <w:r w:rsidDel="00000000" w:rsidR="00000000" w:rsidRPr="00000000">
              <w:rPr>
                <w:rtl w:val="0"/>
              </w:rPr>
            </w:r>
          </w:p>
        </w:tc>
        <w:tc>
          <w:tcPr>
            <w:shd w:fill="000000" w:val="clear"/>
          </w:tcPr>
          <w:p w:rsidR="00000000" w:rsidDel="00000000" w:rsidP="00000000" w:rsidRDefault="00000000" w:rsidRPr="00000000" w14:paraId="00000197">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198">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199">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19A">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19B">
            <w:pPr>
              <w:spacing w:after="0" w:before="120" w:lineRule="auto"/>
              <w:jc w:val="left"/>
              <w:rPr/>
            </w:pPr>
            <w:r w:rsidDel="00000000" w:rsidR="00000000" w:rsidRPr="00000000">
              <w:rPr>
                <w:rtl w:val="0"/>
              </w:rPr>
              <w:t xml:space="preserve">x</w:t>
            </w:r>
          </w:p>
        </w:tc>
        <w:tc>
          <w:tcPr>
            <w:shd w:fill="auto" w:val="clear"/>
          </w:tcPr>
          <w:p w:rsidR="00000000" w:rsidDel="00000000" w:rsidP="00000000" w:rsidRDefault="00000000" w:rsidRPr="00000000" w14:paraId="0000019C">
            <w:pPr>
              <w:spacing w:after="0" w:before="120" w:lineRule="auto"/>
              <w:jc w:val="left"/>
              <w:rPr/>
            </w:pPr>
            <w:r w:rsidDel="00000000" w:rsidR="00000000" w:rsidRPr="00000000">
              <w:rPr>
                <w:rtl w:val="0"/>
              </w:rPr>
              <w:t xml:space="preserve">x</w:t>
            </w:r>
          </w:p>
        </w:tc>
        <w:tc>
          <w:tcPr>
            <w:shd w:fill="auto" w:val="clear"/>
          </w:tcPr>
          <w:p w:rsidR="00000000" w:rsidDel="00000000" w:rsidP="00000000" w:rsidRDefault="00000000" w:rsidRPr="00000000" w14:paraId="0000019D">
            <w:pPr>
              <w:spacing w:after="0" w:before="120" w:lineRule="auto"/>
              <w:jc w:val="left"/>
              <w:rPr/>
            </w:pPr>
            <w:r w:rsidDel="00000000" w:rsidR="00000000" w:rsidRPr="00000000">
              <w:rPr>
                <w:rtl w:val="0"/>
              </w:rPr>
              <w:t xml:space="preserve">x</w:t>
            </w:r>
          </w:p>
        </w:tc>
        <w:tc>
          <w:tcPr>
            <w:shd w:fill="auto" w:val="clear"/>
          </w:tcPr>
          <w:p w:rsidR="00000000" w:rsidDel="00000000" w:rsidP="00000000" w:rsidRDefault="00000000" w:rsidRPr="00000000" w14:paraId="0000019E">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9F">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0">
            <w:pPr>
              <w:spacing w:after="0" w:before="120" w:lineRule="auto"/>
              <w:jc w:val="left"/>
              <w:rPr/>
            </w:pPr>
            <w:r w:rsidDel="00000000" w:rsidR="00000000" w:rsidRPr="00000000">
              <w:rPr>
                <w:rtl w:val="0"/>
              </w:rPr>
              <w:t xml:space="preserve">x</w:t>
            </w:r>
          </w:p>
        </w:tc>
        <w:tc>
          <w:tcPr>
            <w:shd w:fill="auto" w:val="clear"/>
          </w:tcPr>
          <w:p w:rsidR="00000000" w:rsidDel="00000000" w:rsidP="00000000" w:rsidRDefault="00000000" w:rsidRPr="00000000" w14:paraId="000001A1">
            <w:pPr>
              <w:spacing w:after="0" w:before="120" w:lineRule="auto"/>
              <w:jc w:val="left"/>
              <w:rPr/>
            </w:pPr>
            <w:r w:rsidDel="00000000" w:rsidR="00000000" w:rsidRPr="00000000">
              <w:rPr>
                <w:rtl w:val="0"/>
              </w:rPr>
              <w:t xml:space="preserve">x</w:t>
            </w:r>
          </w:p>
        </w:tc>
        <w:tc>
          <w:tcPr>
            <w:shd w:fill="auto" w:val="clear"/>
          </w:tcPr>
          <w:p w:rsidR="00000000" w:rsidDel="00000000" w:rsidP="00000000" w:rsidRDefault="00000000" w:rsidRPr="00000000" w14:paraId="000001A2">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3">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4">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5">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6">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7">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8">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9">
            <w:pPr>
              <w:spacing w:after="0" w:before="120" w:lineRule="auto"/>
              <w:jc w:val="left"/>
              <w:rPr/>
            </w:pPr>
            <w:r w:rsidDel="00000000" w:rsidR="00000000" w:rsidRPr="00000000">
              <w:rPr>
                <w:rtl w:val="0"/>
              </w:rPr>
            </w:r>
          </w:p>
        </w:tc>
        <w:tc>
          <w:tcPr>
            <w:gridSpan w:val="2"/>
            <w:shd w:fill="auto" w:val="clear"/>
          </w:tcPr>
          <w:p w:rsidR="00000000" w:rsidDel="00000000" w:rsidP="00000000" w:rsidRDefault="00000000" w:rsidRPr="00000000" w14:paraId="000001AA">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C">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D">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E">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AF">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B0">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B1">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B2">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B3">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B4">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B5">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B6">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1B7">
            <w:pPr>
              <w:spacing w:after="0" w:before="120" w:lineRule="auto"/>
              <w:jc w:val="left"/>
              <w:rPr/>
            </w:pPr>
            <w:r w:rsidDel="00000000" w:rsidR="00000000" w:rsidRPr="00000000">
              <w:rPr>
                <w:rtl w:val="0"/>
              </w:rPr>
            </w:r>
          </w:p>
        </w:tc>
      </w:tr>
      <w:tr>
        <w:trPr>
          <w:cantSplit w:val="1"/>
          <w:trHeight w:val="277" w:hRule="atLeast"/>
          <w:tblHeader w:val="0"/>
        </w:trPr>
        <w:tc>
          <w:tcPr/>
          <w:p w:rsidR="00000000" w:rsidDel="00000000" w:rsidP="00000000" w:rsidRDefault="00000000" w:rsidRPr="00000000" w14:paraId="000001B8">
            <w:pPr>
              <w:spacing w:after="0" w:before="120" w:lineRule="auto"/>
              <w:jc w:val="left"/>
              <w:rPr/>
            </w:pPr>
            <w:r w:rsidDel="00000000" w:rsidR="00000000" w:rsidRPr="00000000">
              <w:rPr>
                <w:rtl w:val="0"/>
              </w:rPr>
              <w:t xml:space="preserve">2</w:t>
            </w:r>
          </w:p>
        </w:tc>
        <w:tc>
          <w:tcPr/>
          <w:p w:rsidR="00000000" w:rsidDel="00000000" w:rsidP="00000000" w:rsidRDefault="00000000" w:rsidRPr="00000000" w14:paraId="000001B9">
            <w:pPr>
              <w:spacing w:after="0" w:before="120" w:lineRule="auto"/>
              <w:jc w:val="left"/>
              <w:rPr/>
            </w:pPr>
            <w:r w:rsidDel="00000000" w:rsidR="00000000" w:rsidRPr="00000000">
              <w:rPr>
                <w:rtl w:val="0"/>
              </w:rPr>
              <w:t xml:space="preserve">Ethical clearance</w:t>
            </w:r>
          </w:p>
        </w:tc>
        <w:tc>
          <w:tcPr>
            <w:tcBorders>
              <w:bottom w:color="000000" w:space="0" w:sz="4" w:val="single"/>
            </w:tcBorders>
            <w:shd w:fill="auto" w:val="clear"/>
          </w:tcPr>
          <w:p w:rsidR="00000000" w:rsidDel="00000000" w:rsidP="00000000" w:rsidRDefault="00000000" w:rsidRPr="00000000" w14:paraId="000001B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B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B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B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B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B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0">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1C1">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1C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3">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1C4">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1C5">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1C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C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1">
            <w:pPr>
              <w:spacing w:after="0" w:before="120" w:lineRule="auto"/>
              <w:jc w:val="left"/>
              <w:rPr/>
            </w:pP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1D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DF">
            <w:pPr>
              <w:spacing w:after="0" w:before="120" w:lineRule="auto"/>
              <w:jc w:val="left"/>
              <w:rPr/>
            </w:pPr>
            <w:r w:rsidDel="00000000" w:rsidR="00000000" w:rsidRPr="00000000">
              <w:rPr>
                <w:rtl w:val="0"/>
              </w:rPr>
            </w:r>
          </w:p>
        </w:tc>
      </w:tr>
      <w:tr>
        <w:trPr>
          <w:cantSplit w:val="1"/>
          <w:trHeight w:val="285" w:hRule="atLeast"/>
          <w:tblHeader w:val="0"/>
        </w:trPr>
        <w:tc>
          <w:tcPr/>
          <w:p w:rsidR="00000000" w:rsidDel="00000000" w:rsidP="00000000" w:rsidRDefault="00000000" w:rsidRPr="00000000" w14:paraId="000001E0">
            <w:pPr>
              <w:spacing w:after="0" w:before="120" w:lineRule="auto"/>
              <w:jc w:val="left"/>
              <w:rPr/>
            </w:pPr>
            <w:r w:rsidDel="00000000" w:rsidR="00000000" w:rsidRPr="00000000">
              <w:rPr>
                <w:rtl w:val="0"/>
              </w:rPr>
              <w:t xml:space="preserve">3</w:t>
            </w:r>
          </w:p>
        </w:tc>
        <w:tc>
          <w:tcPr/>
          <w:p w:rsidR="00000000" w:rsidDel="00000000" w:rsidP="00000000" w:rsidRDefault="00000000" w:rsidRPr="00000000" w14:paraId="000001E1">
            <w:pPr>
              <w:spacing w:after="0" w:before="120" w:lineRule="auto"/>
              <w:jc w:val="left"/>
              <w:rPr/>
            </w:pPr>
            <w:r w:rsidDel="00000000" w:rsidR="00000000" w:rsidRPr="00000000">
              <w:rPr>
                <w:rtl w:val="0"/>
              </w:rPr>
              <w:t xml:space="preserve">Qualitative data collection</w:t>
            </w:r>
          </w:p>
        </w:tc>
        <w:tc>
          <w:tcPr>
            <w:shd w:fill="auto" w:val="clear"/>
          </w:tcPr>
          <w:p w:rsidR="00000000" w:rsidDel="00000000" w:rsidP="00000000" w:rsidRDefault="00000000" w:rsidRPr="00000000" w14:paraId="000001E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E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E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E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E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E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E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E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EA">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1EB">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1EC">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1E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E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EF">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1F0">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1F1">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1F2">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1F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F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F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F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F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F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F9">
            <w:pPr>
              <w:spacing w:after="0" w:before="120" w:lineRule="auto"/>
              <w:jc w:val="left"/>
              <w:rPr/>
            </w:pP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1F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F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F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F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F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0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0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0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0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0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0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0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07">
            <w:pPr>
              <w:spacing w:after="0" w:before="120" w:lineRule="auto"/>
              <w:jc w:val="left"/>
              <w:rPr/>
            </w:pPr>
            <w:r w:rsidDel="00000000" w:rsidR="00000000" w:rsidRPr="00000000">
              <w:rPr>
                <w:rtl w:val="0"/>
              </w:rPr>
            </w:r>
          </w:p>
        </w:tc>
      </w:tr>
      <w:tr>
        <w:trPr>
          <w:cantSplit w:val="1"/>
          <w:trHeight w:val="276" w:hRule="atLeast"/>
          <w:tblHeader w:val="0"/>
        </w:trPr>
        <w:tc>
          <w:tcPr/>
          <w:p w:rsidR="00000000" w:rsidDel="00000000" w:rsidP="00000000" w:rsidRDefault="00000000" w:rsidRPr="00000000" w14:paraId="00000208">
            <w:pPr>
              <w:spacing w:after="0" w:before="120" w:lineRule="auto"/>
              <w:jc w:val="left"/>
              <w:rPr/>
            </w:pPr>
            <w:r w:rsidDel="00000000" w:rsidR="00000000" w:rsidRPr="00000000">
              <w:rPr>
                <w:rtl w:val="0"/>
              </w:rPr>
              <w:t xml:space="preserve">4</w:t>
            </w:r>
          </w:p>
        </w:tc>
        <w:tc>
          <w:tcPr/>
          <w:p w:rsidR="00000000" w:rsidDel="00000000" w:rsidP="00000000" w:rsidRDefault="00000000" w:rsidRPr="00000000" w14:paraId="00000209">
            <w:pPr>
              <w:spacing w:after="0" w:before="120" w:lineRule="auto"/>
              <w:jc w:val="left"/>
              <w:rPr/>
            </w:pPr>
            <w:r w:rsidDel="00000000" w:rsidR="00000000" w:rsidRPr="00000000">
              <w:rPr>
                <w:rtl w:val="0"/>
              </w:rPr>
              <w:t xml:space="preserve">Analyses of qualitative data set </w:t>
            </w:r>
          </w:p>
        </w:tc>
        <w:tc>
          <w:tcPr>
            <w:tcBorders>
              <w:bottom w:color="000000" w:space="0" w:sz="4" w:val="single"/>
            </w:tcBorders>
            <w:shd w:fill="auto" w:val="clear"/>
          </w:tcPr>
          <w:p w:rsidR="00000000" w:rsidDel="00000000" w:rsidP="00000000" w:rsidRDefault="00000000" w:rsidRPr="00000000" w14:paraId="0000020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0B">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0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0D">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0E">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0F">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10">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1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1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1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14">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15">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1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1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1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1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1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1B">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21C">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21D">
            <w:pPr>
              <w:spacing w:after="0" w:before="120" w:lineRule="auto"/>
              <w:jc w:val="left"/>
              <w:rPr/>
            </w:pPr>
            <w:r w:rsidDel="00000000" w:rsidR="00000000" w:rsidRPr="00000000">
              <w:rPr>
                <w:rtl w:val="0"/>
              </w:rPr>
              <w:t xml:space="preserve">x</w:t>
            </w:r>
          </w:p>
        </w:tc>
        <w:tc>
          <w:tcPr>
            <w:tcBorders>
              <w:bottom w:color="000000" w:space="0" w:sz="4" w:val="single"/>
            </w:tcBorders>
            <w:shd w:fill="auto" w:val="clear"/>
          </w:tcPr>
          <w:p w:rsidR="00000000" w:rsidDel="00000000" w:rsidP="00000000" w:rsidRDefault="00000000" w:rsidRPr="00000000" w14:paraId="0000021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1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1">
            <w:pPr>
              <w:spacing w:after="0" w:before="120" w:lineRule="auto"/>
              <w:jc w:val="left"/>
              <w:rPr/>
            </w:pP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22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2F">
            <w:pPr>
              <w:spacing w:after="0" w:before="120" w:lineRule="auto"/>
              <w:jc w:val="left"/>
              <w:rPr/>
            </w:pPr>
            <w:r w:rsidDel="00000000" w:rsidR="00000000" w:rsidRPr="00000000">
              <w:rPr>
                <w:rtl w:val="0"/>
              </w:rPr>
            </w:r>
          </w:p>
        </w:tc>
      </w:tr>
      <w:tr>
        <w:trPr>
          <w:cantSplit w:val="1"/>
          <w:trHeight w:val="287" w:hRule="atLeast"/>
          <w:tblHeader w:val="0"/>
        </w:trPr>
        <w:tc>
          <w:tcPr/>
          <w:p w:rsidR="00000000" w:rsidDel="00000000" w:rsidP="00000000" w:rsidRDefault="00000000" w:rsidRPr="00000000" w14:paraId="00000230">
            <w:pPr>
              <w:spacing w:after="0" w:before="120" w:lineRule="auto"/>
              <w:jc w:val="left"/>
              <w:rPr/>
            </w:pPr>
            <w:r w:rsidDel="00000000" w:rsidR="00000000" w:rsidRPr="00000000">
              <w:rPr>
                <w:rtl w:val="0"/>
              </w:rPr>
              <w:t xml:space="preserve">7</w:t>
            </w:r>
          </w:p>
        </w:tc>
        <w:tc>
          <w:tcPr/>
          <w:p w:rsidR="00000000" w:rsidDel="00000000" w:rsidP="00000000" w:rsidRDefault="00000000" w:rsidRPr="00000000" w14:paraId="00000231">
            <w:pPr>
              <w:spacing w:after="0" w:before="120" w:lineRule="auto"/>
              <w:jc w:val="left"/>
              <w:rPr/>
            </w:pPr>
            <w:r w:rsidDel="00000000" w:rsidR="00000000" w:rsidRPr="00000000">
              <w:rPr>
                <w:rtl w:val="0"/>
              </w:rPr>
              <w:t xml:space="preserve">Data Capturing</w:t>
            </w:r>
          </w:p>
        </w:tc>
        <w:tc>
          <w:tcPr>
            <w:tcBorders>
              <w:bottom w:color="000000" w:space="0" w:sz="4" w:val="single"/>
            </w:tcBorders>
            <w:shd w:fill="auto" w:val="clear"/>
          </w:tcPr>
          <w:p w:rsidR="00000000" w:rsidDel="00000000" w:rsidP="00000000" w:rsidRDefault="00000000" w:rsidRPr="00000000" w14:paraId="0000023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3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0">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41">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4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9">
            <w:pPr>
              <w:spacing w:after="0" w:before="120" w:lineRule="auto"/>
              <w:jc w:val="left"/>
              <w:rPr/>
            </w:pP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24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4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5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5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5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5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5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5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5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57">
            <w:pPr>
              <w:spacing w:after="0" w:before="120" w:lineRule="auto"/>
              <w:jc w:val="left"/>
              <w:rPr/>
            </w:pPr>
            <w:r w:rsidDel="00000000" w:rsidR="00000000" w:rsidRPr="00000000">
              <w:rPr>
                <w:rtl w:val="0"/>
              </w:rPr>
            </w:r>
          </w:p>
        </w:tc>
      </w:tr>
      <w:tr>
        <w:trPr>
          <w:cantSplit w:val="1"/>
          <w:trHeight w:val="264" w:hRule="atLeast"/>
          <w:tblHeader w:val="0"/>
        </w:trPr>
        <w:tc>
          <w:tcPr/>
          <w:p w:rsidR="00000000" w:rsidDel="00000000" w:rsidP="00000000" w:rsidRDefault="00000000" w:rsidRPr="00000000" w14:paraId="00000258">
            <w:pPr>
              <w:spacing w:after="0" w:before="120" w:lineRule="auto"/>
              <w:jc w:val="left"/>
              <w:rPr/>
            </w:pPr>
            <w:r w:rsidDel="00000000" w:rsidR="00000000" w:rsidRPr="00000000">
              <w:rPr>
                <w:rtl w:val="0"/>
              </w:rPr>
              <w:t xml:space="preserve">8</w:t>
            </w:r>
          </w:p>
        </w:tc>
        <w:tc>
          <w:tcPr/>
          <w:p w:rsidR="00000000" w:rsidDel="00000000" w:rsidP="00000000" w:rsidRDefault="00000000" w:rsidRPr="00000000" w14:paraId="00000259">
            <w:pPr>
              <w:spacing w:after="0" w:before="120" w:lineRule="auto"/>
              <w:jc w:val="left"/>
              <w:rPr/>
            </w:pPr>
            <w:r w:rsidDel="00000000" w:rsidR="00000000" w:rsidRPr="00000000">
              <w:rPr>
                <w:rtl w:val="0"/>
              </w:rPr>
              <w:t xml:space="preserve">Analyses of results</w:t>
            </w:r>
          </w:p>
        </w:tc>
        <w:tc>
          <w:tcPr>
            <w:tcBorders>
              <w:bottom w:color="000000" w:space="0" w:sz="4" w:val="single"/>
            </w:tcBorders>
            <w:shd w:fill="auto" w:val="clear"/>
          </w:tcPr>
          <w:p w:rsidR="00000000" w:rsidDel="00000000" w:rsidP="00000000" w:rsidRDefault="00000000" w:rsidRPr="00000000" w14:paraId="0000025A">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5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5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5D">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5E">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5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60">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61">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6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63">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64">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65">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66">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67">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68">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69">
            <w:pPr>
              <w:spacing w:after="0" w:before="120" w:lineRule="auto"/>
              <w:jc w:val="left"/>
              <w:rPr/>
            </w:pPr>
            <w:r w:rsidDel="00000000" w:rsidR="00000000" w:rsidRPr="00000000">
              <w:rPr>
                <w:rtl w:val="0"/>
              </w:rPr>
            </w:r>
          </w:p>
        </w:tc>
        <w:tc>
          <w:tcPr>
            <w:shd w:fill="000000" w:val="clear"/>
          </w:tcPr>
          <w:p w:rsidR="00000000" w:rsidDel="00000000" w:rsidP="00000000" w:rsidRDefault="00000000" w:rsidRPr="00000000" w14:paraId="0000026A">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6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6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6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6E">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6F">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0">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1">
            <w:pPr>
              <w:spacing w:after="0" w:before="120" w:lineRule="auto"/>
              <w:jc w:val="left"/>
              <w:rPr/>
            </w:pPr>
            <w:r w:rsidDel="00000000" w:rsidR="00000000" w:rsidRPr="00000000">
              <w:rPr>
                <w:rtl w:val="0"/>
              </w:rPr>
            </w:r>
          </w:p>
        </w:tc>
        <w:tc>
          <w:tcPr>
            <w:gridSpan w:val="2"/>
            <w:shd w:fill="auto" w:val="clear"/>
          </w:tcPr>
          <w:p w:rsidR="00000000" w:rsidDel="00000000" w:rsidP="00000000" w:rsidRDefault="00000000" w:rsidRPr="00000000" w14:paraId="00000272">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4">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5">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6">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7">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8">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9">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A">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B">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C">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D">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E">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7F">
            <w:pPr>
              <w:spacing w:after="0" w:before="120" w:lineRule="auto"/>
              <w:jc w:val="left"/>
              <w:rPr/>
            </w:pPr>
            <w:r w:rsidDel="00000000" w:rsidR="00000000" w:rsidRPr="00000000">
              <w:rPr>
                <w:rtl w:val="0"/>
              </w:rPr>
            </w:r>
          </w:p>
        </w:tc>
      </w:tr>
      <w:tr>
        <w:trPr>
          <w:cantSplit w:val="1"/>
          <w:trHeight w:val="281" w:hRule="atLeast"/>
          <w:tblHeader w:val="0"/>
        </w:trPr>
        <w:tc>
          <w:tcPr/>
          <w:p w:rsidR="00000000" w:rsidDel="00000000" w:rsidP="00000000" w:rsidRDefault="00000000" w:rsidRPr="00000000" w14:paraId="00000280">
            <w:pPr>
              <w:spacing w:after="0" w:before="120" w:lineRule="auto"/>
              <w:jc w:val="left"/>
              <w:rPr/>
            </w:pPr>
            <w:r w:rsidDel="00000000" w:rsidR="00000000" w:rsidRPr="00000000">
              <w:rPr>
                <w:rtl w:val="0"/>
              </w:rPr>
              <w:t xml:space="preserve">9</w:t>
            </w:r>
          </w:p>
        </w:tc>
        <w:tc>
          <w:tcPr/>
          <w:p w:rsidR="00000000" w:rsidDel="00000000" w:rsidP="00000000" w:rsidRDefault="00000000" w:rsidRPr="00000000" w14:paraId="00000281">
            <w:pPr>
              <w:spacing w:after="0" w:before="120" w:lineRule="auto"/>
              <w:jc w:val="left"/>
              <w:rPr/>
            </w:pPr>
            <w:r w:rsidDel="00000000" w:rsidR="00000000" w:rsidRPr="00000000">
              <w:rPr>
                <w:rtl w:val="0"/>
              </w:rPr>
              <w:t xml:space="preserve">Preliminary findings report</w:t>
            </w:r>
          </w:p>
        </w:tc>
        <w:tc>
          <w:tcPr>
            <w:tcBorders>
              <w:bottom w:color="000000" w:space="0" w:sz="4" w:val="single"/>
            </w:tcBorders>
            <w:shd w:fill="auto" w:val="clear"/>
          </w:tcPr>
          <w:p w:rsidR="00000000" w:rsidDel="00000000" w:rsidP="00000000" w:rsidRDefault="00000000" w:rsidRPr="00000000" w14:paraId="0000028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8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2">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93">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9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9">
            <w:pPr>
              <w:spacing w:after="0" w:before="120" w:lineRule="auto"/>
              <w:jc w:val="left"/>
              <w:rPr/>
            </w:pP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29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9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7">
            <w:pPr>
              <w:spacing w:after="0" w:before="120" w:lineRule="auto"/>
              <w:jc w:val="left"/>
              <w:rPr/>
            </w:pPr>
            <w:r w:rsidDel="00000000" w:rsidR="00000000" w:rsidRPr="00000000">
              <w:rPr>
                <w:rtl w:val="0"/>
              </w:rPr>
            </w:r>
          </w:p>
        </w:tc>
      </w:tr>
      <w:tr>
        <w:trPr>
          <w:cantSplit w:val="1"/>
          <w:trHeight w:val="258" w:hRule="atLeast"/>
          <w:tblHeader w:val="0"/>
        </w:trPr>
        <w:tc>
          <w:tcPr/>
          <w:p w:rsidR="00000000" w:rsidDel="00000000" w:rsidP="00000000" w:rsidRDefault="00000000" w:rsidRPr="00000000" w14:paraId="000002A8">
            <w:pPr>
              <w:spacing w:after="0" w:before="120" w:lineRule="auto"/>
              <w:jc w:val="left"/>
              <w:rPr/>
            </w:pPr>
            <w:r w:rsidDel="00000000" w:rsidR="00000000" w:rsidRPr="00000000">
              <w:rPr>
                <w:rtl w:val="0"/>
              </w:rPr>
              <w:t xml:space="preserve">10</w:t>
            </w:r>
          </w:p>
        </w:tc>
        <w:tc>
          <w:tcPr/>
          <w:p w:rsidR="00000000" w:rsidDel="00000000" w:rsidP="00000000" w:rsidRDefault="00000000" w:rsidRPr="00000000" w14:paraId="000002A9">
            <w:pPr>
              <w:spacing w:after="0" w:before="120" w:lineRule="auto"/>
              <w:jc w:val="left"/>
              <w:rPr/>
            </w:pPr>
            <w:r w:rsidDel="00000000" w:rsidR="00000000" w:rsidRPr="00000000">
              <w:rPr>
                <w:rtl w:val="0"/>
              </w:rPr>
              <w:t xml:space="preserve">First draft</w:t>
            </w:r>
          </w:p>
        </w:tc>
        <w:tc>
          <w:tcPr>
            <w:tcBorders>
              <w:bottom w:color="000000" w:space="0" w:sz="4" w:val="single"/>
            </w:tcBorders>
            <w:shd w:fill="auto" w:val="clear"/>
          </w:tcPr>
          <w:p w:rsidR="00000000" w:rsidDel="00000000" w:rsidP="00000000" w:rsidRDefault="00000000" w:rsidRPr="00000000" w14:paraId="000002A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A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C">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BD">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B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B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1">
            <w:pPr>
              <w:spacing w:after="0" w:before="120" w:lineRule="auto"/>
              <w:jc w:val="left"/>
              <w:rPr/>
            </w:pP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2C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CF">
            <w:pPr>
              <w:spacing w:after="0" w:before="120" w:lineRule="auto"/>
              <w:jc w:val="left"/>
              <w:rPr/>
            </w:pPr>
            <w:r w:rsidDel="00000000" w:rsidR="00000000" w:rsidRPr="00000000">
              <w:rPr>
                <w:rtl w:val="0"/>
              </w:rPr>
            </w:r>
          </w:p>
        </w:tc>
      </w:tr>
      <w:tr>
        <w:trPr>
          <w:cantSplit w:val="1"/>
          <w:trHeight w:val="280" w:hRule="atLeast"/>
          <w:tblHeader w:val="0"/>
        </w:trPr>
        <w:tc>
          <w:tcPr/>
          <w:p w:rsidR="00000000" w:rsidDel="00000000" w:rsidP="00000000" w:rsidRDefault="00000000" w:rsidRPr="00000000" w14:paraId="000002D0">
            <w:pPr>
              <w:spacing w:after="0" w:before="120" w:lineRule="auto"/>
              <w:jc w:val="left"/>
              <w:rPr/>
            </w:pPr>
            <w:r w:rsidDel="00000000" w:rsidR="00000000" w:rsidRPr="00000000">
              <w:rPr>
                <w:rtl w:val="0"/>
              </w:rPr>
              <w:t xml:space="preserve">12</w:t>
            </w:r>
          </w:p>
        </w:tc>
        <w:tc>
          <w:tcPr/>
          <w:p w:rsidR="00000000" w:rsidDel="00000000" w:rsidP="00000000" w:rsidRDefault="00000000" w:rsidRPr="00000000" w14:paraId="000002D1">
            <w:pPr>
              <w:spacing w:after="0" w:before="120" w:lineRule="auto"/>
              <w:jc w:val="left"/>
              <w:rPr/>
            </w:pPr>
            <w:r w:rsidDel="00000000" w:rsidR="00000000" w:rsidRPr="00000000">
              <w:rPr>
                <w:rtl w:val="0"/>
              </w:rPr>
              <w:t xml:space="preserve">Final draft</w:t>
            </w:r>
          </w:p>
        </w:tc>
        <w:tc>
          <w:tcPr>
            <w:tcBorders>
              <w:bottom w:color="000000" w:space="0" w:sz="4" w:val="single"/>
            </w:tcBorders>
            <w:shd w:fill="auto" w:val="clear"/>
          </w:tcPr>
          <w:p w:rsidR="00000000" w:rsidDel="00000000" w:rsidP="00000000" w:rsidRDefault="00000000" w:rsidRPr="00000000" w14:paraId="000002D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D3">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D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D5">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D6">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D7">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D8">
            <w:pPr>
              <w:spacing w:after="0" w:before="120" w:lineRule="auto"/>
              <w:jc w:val="left"/>
              <w:rPr/>
            </w:pPr>
            <w:r w:rsidDel="00000000" w:rsidR="00000000" w:rsidRPr="00000000">
              <w:rPr>
                <w:rtl w:val="0"/>
              </w:rPr>
            </w:r>
          </w:p>
        </w:tc>
        <w:tc>
          <w:tcPr>
            <w:shd w:fill="auto" w:val="clear"/>
          </w:tcPr>
          <w:p w:rsidR="00000000" w:rsidDel="00000000" w:rsidP="00000000" w:rsidRDefault="00000000" w:rsidRPr="00000000" w14:paraId="000002D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D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D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D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D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D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D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6">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E7">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2E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9">
            <w:pPr>
              <w:spacing w:after="0" w:before="120" w:lineRule="auto"/>
              <w:jc w:val="left"/>
              <w:rPr/>
            </w:pP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2E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E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7">
            <w:pPr>
              <w:spacing w:after="0" w:before="120" w:lineRule="auto"/>
              <w:jc w:val="left"/>
              <w:rPr/>
            </w:pPr>
            <w:r w:rsidDel="00000000" w:rsidR="00000000" w:rsidRPr="00000000">
              <w:rPr>
                <w:rtl w:val="0"/>
              </w:rPr>
            </w:r>
          </w:p>
        </w:tc>
      </w:tr>
      <w:tr>
        <w:trPr>
          <w:cantSplit w:val="1"/>
          <w:trHeight w:val="269" w:hRule="atLeast"/>
          <w:tblHeader w:val="0"/>
        </w:trPr>
        <w:tc>
          <w:tcPr/>
          <w:p w:rsidR="00000000" w:rsidDel="00000000" w:rsidP="00000000" w:rsidRDefault="00000000" w:rsidRPr="00000000" w14:paraId="000002F8">
            <w:pPr>
              <w:spacing w:after="0" w:before="120" w:lineRule="auto"/>
              <w:jc w:val="left"/>
              <w:rPr/>
            </w:pPr>
            <w:r w:rsidDel="00000000" w:rsidR="00000000" w:rsidRPr="00000000">
              <w:rPr>
                <w:rtl w:val="0"/>
              </w:rPr>
              <w:t xml:space="preserve">13</w:t>
            </w:r>
          </w:p>
        </w:tc>
        <w:tc>
          <w:tcPr/>
          <w:p w:rsidR="00000000" w:rsidDel="00000000" w:rsidP="00000000" w:rsidRDefault="00000000" w:rsidRPr="00000000" w14:paraId="000002F9">
            <w:pPr>
              <w:spacing w:after="0" w:before="120" w:lineRule="auto"/>
              <w:jc w:val="left"/>
              <w:rPr/>
            </w:pPr>
            <w:r w:rsidDel="00000000" w:rsidR="00000000" w:rsidRPr="00000000">
              <w:rPr>
                <w:rtl w:val="0"/>
              </w:rPr>
              <w:t xml:space="preserve">Examination and defence of thesis</w:t>
            </w:r>
          </w:p>
        </w:tc>
        <w:tc>
          <w:tcPr>
            <w:tcBorders>
              <w:bottom w:color="000000" w:space="0" w:sz="4" w:val="single"/>
            </w:tcBorders>
            <w:shd w:fill="auto" w:val="clear"/>
          </w:tcPr>
          <w:p w:rsidR="00000000" w:rsidDel="00000000" w:rsidP="00000000" w:rsidRDefault="00000000" w:rsidRPr="00000000" w14:paraId="000002F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2F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0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0">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311">
            <w:pPr>
              <w:spacing w:after="0" w:before="120" w:lineRule="auto"/>
              <w:jc w:val="left"/>
              <w:rPr/>
            </w:pPr>
            <w:r w:rsidDel="00000000" w:rsidR="00000000" w:rsidRPr="00000000">
              <w:rPr>
                <w:rtl w:val="0"/>
              </w:rPr>
            </w:r>
          </w:p>
        </w:tc>
        <w:tc>
          <w:tcPr>
            <w:gridSpan w:val="2"/>
            <w:tcBorders>
              <w:bottom w:color="000000" w:space="0" w:sz="4" w:val="single"/>
            </w:tcBorders>
            <w:shd w:fill="000000" w:val="clear"/>
          </w:tcPr>
          <w:p w:rsidR="00000000" w:rsidDel="00000000" w:rsidP="00000000" w:rsidRDefault="00000000" w:rsidRPr="00000000" w14:paraId="0000031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1F">
            <w:pPr>
              <w:spacing w:after="0" w:before="120" w:lineRule="auto"/>
              <w:jc w:val="left"/>
              <w:rPr/>
            </w:pPr>
            <w:r w:rsidDel="00000000" w:rsidR="00000000" w:rsidRPr="00000000">
              <w:rPr>
                <w:rtl w:val="0"/>
              </w:rPr>
            </w:r>
          </w:p>
        </w:tc>
      </w:tr>
      <w:tr>
        <w:trPr>
          <w:cantSplit w:val="1"/>
          <w:trHeight w:val="274" w:hRule="atLeast"/>
          <w:tblHeader w:val="0"/>
        </w:trPr>
        <w:tc>
          <w:tcPr/>
          <w:p w:rsidR="00000000" w:rsidDel="00000000" w:rsidP="00000000" w:rsidRDefault="00000000" w:rsidRPr="00000000" w14:paraId="00000320">
            <w:pPr>
              <w:spacing w:after="0" w:before="120" w:lineRule="auto"/>
              <w:jc w:val="left"/>
              <w:rPr/>
            </w:pPr>
            <w:r w:rsidDel="00000000" w:rsidR="00000000" w:rsidRPr="00000000">
              <w:rPr>
                <w:rtl w:val="0"/>
              </w:rPr>
              <w:t xml:space="preserve">14</w:t>
            </w:r>
          </w:p>
        </w:tc>
        <w:tc>
          <w:tcPr/>
          <w:p w:rsidR="00000000" w:rsidDel="00000000" w:rsidP="00000000" w:rsidRDefault="00000000" w:rsidRPr="00000000" w14:paraId="00000321">
            <w:pPr>
              <w:spacing w:after="0" w:before="120" w:lineRule="auto"/>
              <w:jc w:val="left"/>
              <w:rPr/>
            </w:pPr>
            <w:r w:rsidDel="00000000" w:rsidR="00000000" w:rsidRPr="00000000">
              <w:rPr>
                <w:b w:val="1"/>
                <w:rtl w:val="0"/>
              </w:rPr>
              <w:t xml:space="preserve">Graduation</w:t>
            </w: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9">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B">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D">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2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7">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8">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9">
            <w:pPr>
              <w:spacing w:after="0" w:before="120" w:lineRule="auto"/>
              <w:jc w:val="left"/>
              <w:rPr/>
            </w:pP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33A">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C">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D">
            <w:pPr>
              <w:spacing w:after="0" w:before="120" w:lineRule="auto"/>
              <w:jc w:val="left"/>
              <w:rPr/>
            </w:pPr>
            <w:r w:rsidDel="00000000" w:rsidR="00000000" w:rsidRPr="00000000">
              <w:rPr>
                <w:rtl w:val="0"/>
              </w:rPr>
            </w:r>
          </w:p>
        </w:tc>
        <w:tc>
          <w:tcPr>
            <w:tcBorders>
              <w:bottom w:color="000000" w:space="0" w:sz="4" w:val="single"/>
            </w:tcBorders>
            <w:shd w:fill="000000" w:val="clear"/>
          </w:tcPr>
          <w:p w:rsidR="00000000" w:rsidDel="00000000" w:rsidP="00000000" w:rsidRDefault="00000000" w:rsidRPr="00000000" w14:paraId="0000033E">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3F">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40">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41">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42">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43">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44">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45">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46">
            <w:pPr>
              <w:spacing w:after="0" w:before="120" w:lineRule="auto"/>
              <w:jc w:val="left"/>
              <w:rPr/>
            </w:pP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347">
            <w:pPr>
              <w:spacing w:after="0" w:before="120" w:lineRule="auto"/>
              <w:jc w:val="left"/>
              <w:rPr/>
            </w:pPr>
            <w:r w:rsidDel="00000000" w:rsidR="00000000" w:rsidRPr="00000000">
              <w:rPr>
                <w:rtl w:val="0"/>
              </w:rPr>
            </w:r>
          </w:p>
        </w:tc>
      </w:tr>
    </w:tbl>
    <w:p w:rsidR="00000000" w:rsidDel="00000000" w:rsidP="00000000" w:rsidRDefault="00000000" w:rsidRPr="00000000" w14:paraId="00000348">
      <w:pPr>
        <w:rPr/>
      </w:pPr>
      <w:r w:rsidDel="00000000" w:rsidR="00000000" w:rsidRPr="00000000">
        <w:rPr>
          <w:rtl w:val="0"/>
        </w:rPr>
      </w:r>
    </w:p>
    <w:p w:rsidR="00000000" w:rsidDel="00000000" w:rsidP="00000000" w:rsidRDefault="00000000" w:rsidRPr="00000000" w14:paraId="00000349">
      <w:pPr>
        <w:rPr/>
      </w:pPr>
      <w:r w:rsidDel="00000000" w:rsidR="00000000" w:rsidRPr="00000000">
        <w:rPr>
          <w:rtl w:val="0"/>
        </w:rPr>
      </w:r>
    </w:p>
    <w:p w:rsidR="00000000" w:rsidDel="00000000" w:rsidP="00000000" w:rsidRDefault="00000000" w:rsidRPr="00000000" w14:paraId="0000034A">
      <w:pPr>
        <w:pStyle w:val="Heading2"/>
        <w:rPr>
          <w:sz w:val="28"/>
          <w:szCs w:val="28"/>
        </w:rPr>
      </w:pPr>
      <w:r w:rsidDel="00000000" w:rsidR="00000000" w:rsidRPr="00000000">
        <w:rPr>
          <w:sz w:val="28"/>
          <w:szCs w:val="28"/>
          <w:rtl w:val="0"/>
        </w:rPr>
        <w:t xml:space="preserve">Annex 2: Budget</w:t>
      </w:r>
    </w:p>
    <w:p w:rsidR="00000000" w:rsidDel="00000000" w:rsidP="00000000" w:rsidRDefault="00000000" w:rsidRPr="00000000" w14:paraId="0000034B">
      <w:pPr>
        <w:rPr/>
      </w:pPr>
      <w:r w:rsidDel="00000000" w:rsidR="00000000" w:rsidRPr="00000000">
        <w:rPr>
          <w:rtl w:val="0"/>
        </w:rPr>
      </w:r>
    </w:p>
    <w:tbl>
      <w:tblPr>
        <w:tblStyle w:val="Table3"/>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75"/>
        <w:gridCol w:w="4675"/>
        <w:tblGridChange w:id="0">
          <w:tblGrid>
            <w:gridCol w:w="4675"/>
            <w:gridCol w:w="4675"/>
          </w:tblGrid>
        </w:tblGridChange>
      </w:tblGrid>
      <w:tr>
        <w:trPr>
          <w:cantSplit w:val="0"/>
          <w:tblHeader w:val="0"/>
        </w:trPr>
        <w:tc>
          <w:tcPr/>
          <w:p w:rsidR="00000000" w:rsidDel="00000000" w:rsidP="00000000" w:rsidRDefault="00000000" w:rsidRPr="00000000" w14:paraId="0000034C">
            <w:pPr>
              <w:rPr>
                <w:b w:val="1"/>
              </w:rPr>
            </w:pPr>
            <w:r w:rsidDel="00000000" w:rsidR="00000000" w:rsidRPr="00000000">
              <w:rPr>
                <w:b w:val="1"/>
                <w:rtl w:val="0"/>
              </w:rPr>
              <w:t xml:space="preserve">ITEM</w:t>
            </w:r>
          </w:p>
        </w:tc>
        <w:tc>
          <w:tcPr/>
          <w:p w:rsidR="00000000" w:rsidDel="00000000" w:rsidP="00000000" w:rsidRDefault="00000000" w:rsidRPr="00000000" w14:paraId="0000034D">
            <w:pPr>
              <w:rPr>
                <w:b w:val="1"/>
              </w:rPr>
            </w:pPr>
            <w:r w:rsidDel="00000000" w:rsidR="00000000" w:rsidRPr="00000000">
              <w:rPr>
                <w:b w:val="1"/>
                <w:rtl w:val="0"/>
              </w:rPr>
              <w:t xml:space="preserve">ESTIMATED COST</w:t>
            </w:r>
          </w:p>
        </w:tc>
      </w:tr>
      <w:tr>
        <w:trPr>
          <w:cantSplit w:val="0"/>
          <w:tblHeader w:val="0"/>
        </w:trPr>
        <w:tc>
          <w:tcPr/>
          <w:p w:rsidR="00000000" w:rsidDel="00000000" w:rsidP="00000000" w:rsidRDefault="00000000" w:rsidRPr="00000000" w14:paraId="0000034E">
            <w:pPr>
              <w:rPr/>
            </w:pPr>
            <w:r w:rsidDel="00000000" w:rsidR="00000000" w:rsidRPr="00000000">
              <w:rPr>
                <w:rtl w:val="0"/>
              </w:rPr>
              <w:t xml:space="preserve">Traveling and accomodations to various counties</w:t>
            </w:r>
          </w:p>
        </w:tc>
        <w:tc>
          <w:tcPr/>
          <w:p w:rsidR="00000000" w:rsidDel="00000000" w:rsidP="00000000" w:rsidRDefault="00000000" w:rsidRPr="00000000" w14:paraId="0000034F">
            <w:pPr>
              <w:rPr/>
            </w:pPr>
            <w:r w:rsidDel="00000000" w:rsidR="00000000" w:rsidRPr="00000000">
              <w:rPr>
                <w:rtl w:val="0"/>
              </w:rPr>
              <w:t xml:space="preserve">Kshs 500,000</w:t>
            </w:r>
          </w:p>
        </w:tc>
      </w:tr>
      <w:tr>
        <w:trPr>
          <w:cantSplit w:val="0"/>
          <w:tblHeader w:val="0"/>
        </w:trPr>
        <w:tc>
          <w:tcPr/>
          <w:p w:rsidR="00000000" w:rsidDel="00000000" w:rsidP="00000000" w:rsidRDefault="00000000" w:rsidRPr="00000000" w14:paraId="00000350">
            <w:pPr>
              <w:rPr/>
            </w:pPr>
            <w:r w:rsidDel="00000000" w:rsidR="00000000" w:rsidRPr="00000000">
              <w:rPr>
                <w:rtl w:val="0"/>
              </w:rPr>
              <w:t xml:space="preserve">Data collection expenses </w:t>
            </w:r>
          </w:p>
        </w:tc>
        <w:tc>
          <w:tcPr/>
          <w:p w:rsidR="00000000" w:rsidDel="00000000" w:rsidP="00000000" w:rsidRDefault="00000000" w:rsidRPr="00000000" w14:paraId="00000351">
            <w:pPr>
              <w:rPr/>
            </w:pPr>
            <w:r w:rsidDel="00000000" w:rsidR="00000000" w:rsidRPr="00000000">
              <w:rPr>
                <w:rtl w:val="0"/>
              </w:rPr>
              <w:t xml:space="preserve">Kshs 350,000</w:t>
            </w:r>
          </w:p>
        </w:tc>
      </w:tr>
      <w:tr>
        <w:trPr>
          <w:cantSplit w:val="0"/>
          <w:tblHeader w:val="0"/>
        </w:trPr>
        <w:tc>
          <w:tcPr/>
          <w:p w:rsidR="00000000" w:rsidDel="00000000" w:rsidP="00000000" w:rsidRDefault="00000000" w:rsidRPr="00000000" w14:paraId="00000352">
            <w:pPr>
              <w:rPr/>
            </w:pPr>
            <w:r w:rsidDel="00000000" w:rsidR="00000000" w:rsidRPr="00000000">
              <w:rPr>
                <w:rtl w:val="0"/>
              </w:rPr>
              <w:t xml:space="preserve">Data analysis expenditure </w:t>
            </w:r>
          </w:p>
        </w:tc>
        <w:tc>
          <w:tcPr/>
          <w:p w:rsidR="00000000" w:rsidDel="00000000" w:rsidP="00000000" w:rsidRDefault="00000000" w:rsidRPr="00000000" w14:paraId="00000353">
            <w:pPr>
              <w:rPr/>
            </w:pPr>
            <w:r w:rsidDel="00000000" w:rsidR="00000000" w:rsidRPr="00000000">
              <w:rPr>
                <w:rtl w:val="0"/>
              </w:rPr>
              <w:t xml:space="preserve">Ksh. 300,000</w:t>
            </w:r>
          </w:p>
        </w:tc>
      </w:tr>
      <w:tr>
        <w:trPr>
          <w:cantSplit w:val="0"/>
          <w:tblHeader w:val="0"/>
        </w:trPr>
        <w:tc>
          <w:tcPr/>
          <w:p w:rsidR="00000000" w:rsidDel="00000000" w:rsidP="00000000" w:rsidRDefault="00000000" w:rsidRPr="00000000" w14:paraId="00000354">
            <w:pPr>
              <w:rPr/>
            </w:pPr>
            <w:r w:rsidDel="00000000" w:rsidR="00000000" w:rsidRPr="00000000">
              <w:rPr>
                <w:rtl w:val="0"/>
              </w:rPr>
              <w:t xml:space="preserve">Miscellaneous </w:t>
            </w:r>
          </w:p>
        </w:tc>
        <w:tc>
          <w:tcPr/>
          <w:p w:rsidR="00000000" w:rsidDel="00000000" w:rsidP="00000000" w:rsidRDefault="00000000" w:rsidRPr="00000000" w14:paraId="00000355">
            <w:pPr>
              <w:rPr/>
            </w:pPr>
            <w:r w:rsidDel="00000000" w:rsidR="00000000" w:rsidRPr="00000000">
              <w:rPr>
                <w:rtl w:val="0"/>
              </w:rPr>
              <w:t xml:space="preserve">10% of total (0.1*500,000)</w:t>
            </w:r>
          </w:p>
          <w:p w:rsidR="00000000" w:rsidDel="00000000" w:rsidP="00000000" w:rsidRDefault="00000000" w:rsidRPr="00000000" w14:paraId="00000356">
            <w:pPr>
              <w:rPr/>
            </w:pPr>
            <w:r w:rsidDel="00000000" w:rsidR="00000000" w:rsidRPr="00000000">
              <w:rPr>
                <w:rtl w:val="0"/>
              </w:rPr>
              <w:t xml:space="preserve">105000</w:t>
            </w:r>
          </w:p>
        </w:tc>
      </w:tr>
      <w:tr>
        <w:trPr>
          <w:cantSplit w:val="0"/>
          <w:tblHeader w:val="0"/>
        </w:trPr>
        <w:tc>
          <w:tcPr/>
          <w:p w:rsidR="00000000" w:rsidDel="00000000" w:rsidP="00000000" w:rsidRDefault="00000000" w:rsidRPr="00000000" w14:paraId="00000357">
            <w:pPr>
              <w:rPr>
                <w:b w:val="1"/>
              </w:rPr>
            </w:pPr>
            <w:r w:rsidDel="00000000" w:rsidR="00000000" w:rsidRPr="00000000">
              <w:rPr>
                <w:b w:val="1"/>
                <w:rtl w:val="0"/>
              </w:rPr>
              <w:t xml:space="preserve">TOTAL</w:t>
            </w:r>
          </w:p>
        </w:tc>
        <w:tc>
          <w:tcPr/>
          <w:p w:rsidR="00000000" w:rsidDel="00000000" w:rsidP="00000000" w:rsidRDefault="00000000" w:rsidRPr="00000000" w14:paraId="00000358">
            <w:pPr>
              <w:rPr>
                <w:b w:val="1"/>
              </w:rPr>
            </w:pPr>
            <w:r w:rsidDel="00000000" w:rsidR="00000000" w:rsidRPr="00000000">
              <w:rPr>
                <w:b w:val="1"/>
                <w:rtl w:val="0"/>
              </w:rPr>
              <w:t xml:space="preserve">Ksh. 1155000</w:t>
            </w:r>
          </w:p>
        </w:tc>
      </w:tr>
    </w:tbl>
    <w:p w:rsidR="00000000" w:rsidDel="00000000" w:rsidP="00000000" w:rsidRDefault="00000000" w:rsidRPr="00000000" w14:paraId="00000359">
      <w:pPr>
        <w:rPr/>
      </w:pPr>
      <w:r w:rsidDel="00000000" w:rsidR="00000000" w:rsidRPr="00000000">
        <w:rPr>
          <w:rtl w:val="0"/>
        </w:rPr>
      </w:r>
    </w:p>
    <w:p w:rsidR="00000000" w:rsidDel="00000000" w:rsidP="00000000" w:rsidRDefault="00000000" w:rsidRPr="00000000" w14:paraId="0000035A">
      <w:pPr>
        <w:pStyle w:val="Heading2"/>
        <w:rPr/>
      </w:pPr>
      <w:r w:rsidDel="00000000" w:rsidR="00000000" w:rsidRPr="00000000">
        <w:rPr>
          <w:sz w:val="28"/>
          <w:szCs w:val="28"/>
          <w:rtl w:val="0"/>
        </w:rPr>
        <w:t xml:space="preserve">RRF Annex 3: Data Collection Tool(s)</w:t>
      </w:r>
      <w:r w:rsidDel="00000000" w:rsidR="00000000" w:rsidRPr="00000000">
        <w:rPr>
          <w:rtl w:val="0"/>
        </w:rPr>
      </w:r>
    </w:p>
    <w:p w:rsidR="00000000" w:rsidDel="00000000" w:rsidP="00000000" w:rsidRDefault="00000000" w:rsidRPr="00000000" w14:paraId="0000035B">
      <w:pPr>
        <w:rPr/>
      </w:pPr>
      <w:r w:rsidDel="00000000" w:rsidR="00000000" w:rsidRPr="00000000">
        <w:rPr>
          <w:rtl w:val="0"/>
        </w:rPr>
      </w:r>
    </w:p>
    <w:p w:rsidR="00000000" w:rsidDel="00000000" w:rsidP="00000000" w:rsidRDefault="00000000" w:rsidRPr="00000000" w14:paraId="0000035C">
      <w:pPr>
        <w:rPr/>
      </w:pPr>
      <w:r w:rsidDel="00000000" w:rsidR="00000000" w:rsidRPr="00000000">
        <w:rPr>
          <w:rtl w:val="0"/>
        </w:rPr>
        <w:t xml:space="preserve">Interview guide:</w:t>
      </w:r>
    </w:p>
    <w:p w:rsidR="00000000" w:rsidDel="00000000" w:rsidP="00000000" w:rsidRDefault="00000000" w:rsidRPr="00000000" w14:paraId="0000035D">
      <w:pPr>
        <w:rPr/>
      </w:pPr>
      <w:r w:rsidDel="00000000" w:rsidR="00000000" w:rsidRPr="00000000">
        <w:rPr>
          <w:rtl w:val="0"/>
        </w:rPr>
        <w:t xml:space="preserve">The major tool employed will be interview guided by the Shiffman and Smith framework.</w:t>
      </w:r>
    </w:p>
    <w:p w:rsidR="00000000" w:rsidDel="00000000" w:rsidP="00000000" w:rsidRDefault="00000000" w:rsidRPr="00000000" w14:paraId="0000035E">
      <w:pPr>
        <w:rPr/>
      </w:pPr>
      <w:r w:rsidDel="00000000" w:rsidR="00000000" w:rsidRPr="00000000">
        <w:rPr>
          <w:rtl w:val="0"/>
        </w:rPr>
      </w:r>
    </w:p>
    <w:p w:rsidR="00000000" w:rsidDel="00000000" w:rsidP="00000000" w:rsidRDefault="00000000" w:rsidRPr="00000000" w14:paraId="0000035F">
      <w:pPr>
        <w:rPr/>
      </w:pPr>
      <w:r w:rsidDel="00000000" w:rsidR="00000000" w:rsidRPr="00000000">
        <w:rPr>
          <w:rtl w:val="0"/>
        </w:rPr>
        <w:t xml:space="preserve">1.</w:t>
        <w:tab/>
        <w:t xml:space="preserve">Power of Ideas: </w:t>
      </w:r>
    </w:p>
    <w:p w:rsidR="00000000" w:rsidDel="00000000" w:rsidP="00000000" w:rsidRDefault="00000000" w:rsidRPr="00000000" w14:paraId="00000360">
      <w:pPr>
        <w:rPr/>
      </w:pPr>
      <w:r w:rsidDel="00000000" w:rsidR="00000000" w:rsidRPr="00000000">
        <w:rPr>
          <w:rtl w:val="0"/>
        </w:rPr>
        <w:t xml:space="preserve">What is your understanding oral health problem in Kenya/South Africa?</w:t>
      </w:r>
    </w:p>
    <w:p w:rsidR="00000000" w:rsidDel="00000000" w:rsidP="00000000" w:rsidRDefault="00000000" w:rsidRPr="00000000" w14:paraId="00000361">
      <w:pPr>
        <w:rPr/>
      </w:pPr>
      <w:r w:rsidDel="00000000" w:rsidR="00000000" w:rsidRPr="00000000">
        <w:rPr>
          <w:rtl w:val="0"/>
        </w:rPr>
        <w:t xml:space="preserve">Do you think there is an oral health problem in the country? Explain.</w:t>
      </w:r>
    </w:p>
    <w:p w:rsidR="00000000" w:rsidDel="00000000" w:rsidP="00000000" w:rsidRDefault="00000000" w:rsidRPr="00000000" w14:paraId="00000362">
      <w:pPr>
        <w:rPr/>
      </w:pPr>
      <w:r w:rsidDel="00000000" w:rsidR="00000000" w:rsidRPr="00000000">
        <w:rPr>
          <w:rtl w:val="0"/>
        </w:rPr>
        <w:t xml:space="preserve">What are the major oral diseases in Kenya/South Africa?</w:t>
      </w:r>
    </w:p>
    <w:p w:rsidR="00000000" w:rsidDel="00000000" w:rsidP="00000000" w:rsidRDefault="00000000" w:rsidRPr="00000000" w14:paraId="00000363">
      <w:pPr>
        <w:rPr/>
      </w:pPr>
      <w:r w:rsidDel="00000000" w:rsidR="00000000" w:rsidRPr="00000000">
        <w:rPr>
          <w:rtl w:val="0"/>
        </w:rPr>
        <w:t xml:space="preserve">What are the major causes for the prevalence of oral health problems in Kenya/South Africa?</w:t>
      </w:r>
    </w:p>
    <w:p w:rsidR="00000000" w:rsidDel="00000000" w:rsidP="00000000" w:rsidRDefault="00000000" w:rsidRPr="00000000" w14:paraId="00000364">
      <w:pPr>
        <w:rPr/>
      </w:pPr>
      <w:r w:rsidDel="00000000" w:rsidR="00000000" w:rsidRPr="00000000">
        <w:rPr>
          <w:rtl w:val="0"/>
        </w:rPr>
        <w:t xml:space="preserve">What is the major barrier to achieving oral health in Kenya/South Africa?</w:t>
      </w:r>
    </w:p>
    <w:p w:rsidR="00000000" w:rsidDel="00000000" w:rsidP="00000000" w:rsidRDefault="00000000" w:rsidRPr="00000000" w14:paraId="00000365">
      <w:pPr>
        <w:rPr/>
      </w:pPr>
      <w:r w:rsidDel="00000000" w:rsidR="00000000" w:rsidRPr="00000000">
        <w:rPr>
          <w:rtl w:val="0"/>
        </w:rPr>
        <w:t xml:space="preserve">How can we improve oral health in Kenya/South Africa?</w:t>
      </w:r>
    </w:p>
    <w:p w:rsidR="00000000" w:rsidDel="00000000" w:rsidP="00000000" w:rsidRDefault="00000000" w:rsidRPr="00000000" w14:paraId="00000366">
      <w:pPr>
        <w:rPr/>
      </w:pPr>
      <w:r w:rsidDel="00000000" w:rsidR="00000000" w:rsidRPr="00000000">
        <w:rPr>
          <w:rtl w:val="0"/>
        </w:rPr>
        <w:t xml:space="preserve">2.</w:t>
        <w:tab/>
        <w:t xml:space="preserve">Power of Actors:</w:t>
      </w:r>
    </w:p>
    <w:p w:rsidR="00000000" w:rsidDel="00000000" w:rsidP="00000000" w:rsidRDefault="00000000" w:rsidRPr="00000000" w14:paraId="00000367">
      <w:pPr>
        <w:rPr/>
      </w:pPr>
      <w:r w:rsidDel="00000000" w:rsidR="00000000" w:rsidRPr="00000000">
        <w:rPr>
          <w:rtl w:val="0"/>
        </w:rPr>
        <w:t xml:space="preserve">Are there organizations poised to champion oral health promotion in the country? If yes, how effective are they?</w:t>
      </w:r>
    </w:p>
    <w:p w:rsidR="00000000" w:rsidDel="00000000" w:rsidP="00000000" w:rsidRDefault="00000000" w:rsidRPr="00000000" w14:paraId="00000368">
      <w:pPr>
        <w:rPr/>
      </w:pPr>
      <w:r w:rsidDel="00000000" w:rsidR="00000000" w:rsidRPr="00000000">
        <w:rPr>
          <w:rtl w:val="0"/>
        </w:rPr>
        <w:t xml:space="preserve">How is the cooperation between these organizations in championing oral health in the country?</w:t>
      </w:r>
    </w:p>
    <w:p w:rsidR="00000000" w:rsidDel="00000000" w:rsidP="00000000" w:rsidRDefault="00000000" w:rsidRPr="00000000" w14:paraId="00000369">
      <w:pPr>
        <w:rPr/>
      </w:pPr>
      <w:r w:rsidDel="00000000" w:rsidR="00000000" w:rsidRPr="00000000">
        <w:rPr>
          <w:rtl w:val="0"/>
        </w:rPr>
        <w:t xml:space="preserve">Are there notable leaders and policy makers who have come out in support of oral health issues?</w:t>
      </w:r>
    </w:p>
    <w:p w:rsidR="00000000" w:rsidDel="00000000" w:rsidP="00000000" w:rsidRDefault="00000000" w:rsidRPr="00000000" w14:paraId="0000036A">
      <w:pPr>
        <w:rPr/>
      </w:pPr>
      <w:r w:rsidDel="00000000" w:rsidR="00000000" w:rsidRPr="00000000">
        <w:rPr>
          <w:rtl w:val="0"/>
        </w:rPr>
        <w:t xml:space="preserve">Has there been mobilization at the grassroot level by civil organizations to drive policy change towards handling of oral health matters? If yes, what is the effectiveness of their actions?</w:t>
      </w:r>
    </w:p>
    <w:p w:rsidR="00000000" w:rsidDel="00000000" w:rsidP="00000000" w:rsidRDefault="00000000" w:rsidRPr="00000000" w14:paraId="0000036B">
      <w:pPr>
        <w:rPr/>
      </w:pPr>
      <w:r w:rsidDel="00000000" w:rsidR="00000000" w:rsidRPr="00000000">
        <w:rPr>
          <w:rtl w:val="0"/>
        </w:rPr>
        <w:t xml:space="preserve">What is the role of health practitioners in the championing of better oral health policies in the country?</w:t>
      </w:r>
    </w:p>
    <w:p w:rsidR="00000000" w:rsidDel="00000000" w:rsidP="00000000" w:rsidRDefault="00000000" w:rsidRPr="00000000" w14:paraId="0000036C">
      <w:pPr>
        <w:rPr/>
      </w:pPr>
      <w:r w:rsidDel="00000000" w:rsidR="00000000" w:rsidRPr="00000000">
        <w:rPr>
          <w:rtl w:val="0"/>
        </w:rPr>
      </w:r>
    </w:p>
    <w:p w:rsidR="00000000" w:rsidDel="00000000" w:rsidP="00000000" w:rsidRDefault="00000000" w:rsidRPr="00000000" w14:paraId="0000036D">
      <w:pPr>
        <w:rPr/>
      </w:pPr>
      <w:r w:rsidDel="00000000" w:rsidR="00000000" w:rsidRPr="00000000">
        <w:rPr>
          <w:rtl w:val="0"/>
        </w:rPr>
        <w:t xml:space="preserve">3.</w:t>
        <w:tab/>
        <w:t xml:space="preserve">Issue Characteristics: </w:t>
      </w:r>
    </w:p>
    <w:p w:rsidR="00000000" w:rsidDel="00000000" w:rsidP="00000000" w:rsidRDefault="00000000" w:rsidRPr="00000000" w14:paraId="0000036E">
      <w:pPr>
        <w:rPr/>
      </w:pPr>
      <w:r w:rsidDel="00000000" w:rsidR="00000000" w:rsidRPr="00000000">
        <w:rPr>
          <w:rtl w:val="0"/>
        </w:rPr>
        <w:t xml:space="preserve">What are the indicators to the oral health problem in Kenya/South Africa?</w:t>
      </w:r>
    </w:p>
    <w:p w:rsidR="00000000" w:rsidDel="00000000" w:rsidP="00000000" w:rsidRDefault="00000000" w:rsidRPr="00000000" w14:paraId="0000036F">
      <w:pPr>
        <w:rPr/>
      </w:pPr>
      <w:r w:rsidDel="00000000" w:rsidR="00000000" w:rsidRPr="00000000">
        <w:rPr>
          <w:rtl w:val="0"/>
        </w:rPr>
        <w:t xml:space="preserve">Are there reliable and up to date epidemiological data to support the burden of oral health diseases on the populace?</w:t>
      </w:r>
    </w:p>
    <w:p w:rsidR="00000000" w:rsidDel="00000000" w:rsidP="00000000" w:rsidRDefault="00000000" w:rsidRPr="00000000" w14:paraId="00000370">
      <w:pPr>
        <w:rPr/>
      </w:pPr>
      <w:r w:rsidDel="00000000" w:rsidR="00000000" w:rsidRPr="00000000">
        <w:rPr>
          <w:rtl w:val="0"/>
        </w:rPr>
        <w:t xml:space="preserve">Compared to other health problems what is the burden of oral health problems in Kenya/South Africa?</w:t>
      </w:r>
    </w:p>
    <w:p w:rsidR="00000000" w:rsidDel="00000000" w:rsidP="00000000" w:rsidRDefault="00000000" w:rsidRPr="00000000" w14:paraId="00000371">
      <w:pPr>
        <w:rPr/>
      </w:pPr>
      <w:r w:rsidDel="00000000" w:rsidR="00000000" w:rsidRPr="00000000">
        <w:rPr>
          <w:rtl w:val="0"/>
        </w:rPr>
        <w:t xml:space="preserve">Do you know of any interventions to combat the oral health problem? If yes, which are these interventions? </w:t>
      </w:r>
    </w:p>
    <w:p w:rsidR="00000000" w:rsidDel="00000000" w:rsidP="00000000" w:rsidRDefault="00000000" w:rsidRPr="00000000" w14:paraId="00000372">
      <w:pPr>
        <w:rPr/>
      </w:pPr>
      <w:r w:rsidDel="00000000" w:rsidR="00000000" w:rsidRPr="00000000">
        <w:rPr>
          <w:rtl w:val="0"/>
        </w:rPr>
        <w:t xml:space="preserve">What is the sustainability of these interventions in terms of cost, simplicity and implementation? </w:t>
      </w:r>
    </w:p>
    <w:p w:rsidR="00000000" w:rsidDel="00000000" w:rsidP="00000000" w:rsidRDefault="00000000" w:rsidRPr="00000000" w14:paraId="00000373">
      <w:pPr>
        <w:rPr/>
      </w:pPr>
      <w:r w:rsidDel="00000000" w:rsidR="00000000" w:rsidRPr="00000000">
        <w:rPr>
          <w:rtl w:val="0"/>
        </w:rPr>
        <w:t xml:space="preserve">4.</w:t>
        <w:tab/>
        <w:t xml:space="preserve">Political Context</w:t>
      </w:r>
    </w:p>
    <w:p w:rsidR="00000000" w:rsidDel="00000000" w:rsidP="00000000" w:rsidRDefault="00000000" w:rsidRPr="00000000" w14:paraId="00000374">
      <w:pPr>
        <w:rPr/>
      </w:pPr>
      <w:r w:rsidDel="00000000" w:rsidR="00000000" w:rsidRPr="00000000">
        <w:rPr>
          <w:rtl w:val="0"/>
        </w:rPr>
        <w:t xml:space="preserve">Who are the policy setters in matters oral health?</w:t>
      </w:r>
    </w:p>
    <w:p w:rsidR="00000000" w:rsidDel="00000000" w:rsidP="00000000" w:rsidRDefault="00000000" w:rsidRPr="00000000" w14:paraId="00000375">
      <w:pPr>
        <w:rPr/>
      </w:pPr>
      <w:r w:rsidDel="00000000" w:rsidR="00000000" w:rsidRPr="00000000">
        <w:rPr>
          <w:rtl w:val="0"/>
        </w:rPr>
        <w:t xml:space="preserve">What is the willingness of policy setters in setting favourable policies concerning oral health in the country?</w:t>
      </w:r>
    </w:p>
    <w:p w:rsidR="00000000" w:rsidDel="00000000" w:rsidP="00000000" w:rsidRDefault="00000000" w:rsidRPr="00000000" w14:paraId="00000376">
      <w:pPr>
        <w:rPr/>
      </w:pPr>
      <w:r w:rsidDel="00000000" w:rsidR="00000000" w:rsidRPr="00000000">
        <w:rPr>
          <w:rtl w:val="0"/>
        </w:rPr>
        <w:t xml:space="preserve">What windows or opportunity for policy existed in Kenya/South Africa that we missed/took advantage of?</w:t>
      </w:r>
    </w:p>
    <w:p w:rsidR="00000000" w:rsidDel="00000000" w:rsidP="00000000" w:rsidRDefault="00000000" w:rsidRPr="00000000" w14:paraId="00000377">
      <w:pPr>
        <w:rPr/>
      </w:pPr>
      <w:r w:rsidDel="00000000" w:rsidR="00000000" w:rsidRPr="00000000">
        <w:rPr>
          <w:rtl w:val="0"/>
        </w:rPr>
        <w:t xml:space="preserve">Is there good political will towards the better oral health initiative?</w:t>
      </w:r>
    </w:p>
    <w:p w:rsidR="00000000" w:rsidDel="00000000" w:rsidP="00000000" w:rsidRDefault="00000000" w:rsidRPr="00000000" w14:paraId="00000378">
      <w:pPr>
        <w:rPr/>
      </w:pPr>
      <w:r w:rsidDel="00000000" w:rsidR="00000000" w:rsidRPr="00000000">
        <w:rPr>
          <w:rtl w:val="0"/>
        </w:rPr>
        <w:t xml:space="preserve">Has devolution of health increased windows of opportunity for actors in Kenya? Does the health governance structure in South Africa provide windows of opportunity for policy change?</w:t>
      </w:r>
    </w:p>
    <w:p w:rsidR="00000000" w:rsidDel="00000000" w:rsidP="00000000" w:rsidRDefault="00000000" w:rsidRPr="00000000" w14:paraId="00000379">
      <w:pPr>
        <w:rPr/>
      </w:pPr>
      <w:r w:rsidDel="00000000" w:rsidR="00000000" w:rsidRPr="00000000">
        <w:rPr>
          <w:rtl w:val="0"/>
        </w:rPr>
        <w:t xml:space="preserve">Why has there been no national oral health policy in South Africa since 2002? What happened to the National Oral health Policy of 2002 in Kenya?</w:t>
      </w:r>
    </w:p>
    <w:p w:rsidR="00000000" w:rsidDel="00000000" w:rsidP="00000000" w:rsidRDefault="00000000" w:rsidRPr="00000000" w14:paraId="0000037A">
      <w:pPr>
        <w:rPr/>
      </w:pPr>
      <w:r w:rsidDel="00000000" w:rsidR="00000000" w:rsidRPr="00000000">
        <w:rPr>
          <w:rtl w:val="0"/>
        </w:rPr>
      </w:r>
    </w:p>
    <w:p w:rsidR="00000000" w:rsidDel="00000000" w:rsidP="00000000" w:rsidRDefault="00000000" w:rsidRPr="00000000" w14:paraId="0000037B">
      <w:pPr>
        <w:rPr>
          <w:b w:val="1"/>
          <w:color w:val="2f5496"/>
          <w:sz w:val="28"/>
          <w:szCs w:val="28"/>
        </w:rPr>
      </w:pPr>
      <w:bookmarkStart w:colFirst="0" w:colLast="0" w:name="_206ipza" w:id="19"/>
      <w:bookmarkEnd w:id="19"/>
      <w:r w:rsidDel="00000000" w:rsidR="00000000" w:rsidRPr="00000000">
        <w:br w:type="page"/>
      </w:r>
      <w:r w:rsidDel="00000000" w:rsidR="00000000" w:rsidRPr="00000000">
        <w:rPr>
          <w:rtl w:val="0"/>
        </w:rPr>
      </w:r>
    </w:p>
    <w:p w:rsidR="00000000" w:rsidDel="00000000" w:rsidP="00000000" w:rsidRDefault="00000000" w:rsidRPr="00000000" w14:paraId="0000037C">
      <w:pPr>
        <w:pStyle w:val="Heading2"/>
        <w:rPr>
          <w:sz w:val="28"/>
          <w:szCs w:val="28"/>
          <w:u w:val="single"/>
        </w:rPr>
      </w:pPr>
      <w:r w:rsidDel="00000000" w:rsidR="00000000" w:rsidRPr="00000000">
        <w:rPr>
          <w:sz w:val="28"/>
          <w:szCs w:val="28"/>
          <w:rtl w:val="0"/>
        </w:rPr>
        <w:t xml:space="preserve">Annex 4: </w:t>
      </w:r>
      <w:r w:rsidDel="00000000" w:rsidR="00000000" w:rsidRPr="00000000">
        <w:rPr>
          <w:sz w:val="28"/>
          <w:szCs w:val="28"/>
          <w:u w:val="single"/>
          <w:rtl w:val="0"/>
        </w:rPr>
        <w:t xml:space="preserve">References</w:t>
      </w:r>
    </w:p>
    <w:p w:rsidR="00000000" w:rsidDel="00000000" w:rsidP="00000000" w:rsidRDefault="00000000" w:rsidRPr="00000000" w14:paraId="0000037D">
      <w:pPr>
        <w:rPr/>
      </w:pPr>
      <w:r w:rsidDel="00000000" w:rsidR="00000000" w:rsidRPr="00000000">
        <w:rPr>
          <w:rtl w:val="0"/>
        </w:rPr>
      </w:r>
    </w:p>
    <w:p w:rsidR="00000000" w:rsidDel="00000000" w:rsidP="00000000" w:rsidRDefault="00000000" w:rsidRPr="00000000" w14:paraId="0000037E">
      <w:pPr>
        <w:ind w:hanging="480"/>
        <w:rPr/>
      </w:pPr>
      <w:bookmarkStart w:colFirst="0" w:colLast="0" w:name="_4k668n3" w:id="20"/>
      <w:bookmarkEnd w:id="20"/>
      <w:r w:rsidDel="00000000" w:rsidR="00000000" w:rsidRPr="00000000">
        <w:rPr>
          <w:rtl w:val="0"/>
        </w:rPr>
        <w:t xml:space="preserve">Abid, A., Maatouk, F., Berrezouga, L., Azodo, C., Uti, O., El-Shamy, H., &amp; Oginni, A. (2015). Prevalence and Severity of Oral Diseases in the Africa and Middle East Region. </w:t>
      </w:r>
      <w:r w:rsidDel="00000000" w:rsidR="00000000" w:rsidRPr="00000000">
        <w:rPr>
          <w:i w:val="1"/>
          <w:rtl w:val="0"/>
        </w:rPr>
        <w:t xml:space="preserve">Advances in Dental Research</w:t>
      </w:r>
      <w:r w:rsidDel="00000000" w:rsidR="00000000" w:rsidRPr="00000000">
        <w:rPr>
          <w:rtl w:val="0"/>
        </w:rPr>
        <w:t xml:space="preserve">, </w:t>
      </w:r>
      <w:r w:rsidDel="00000000" w:rsidR="00000000" w:rsidRPr="00000000">
        <w:rPr>
          <w:i w:val="1"/>
          <w:rtl w:val="0"/>
        </w:rPr>
        <w:t xml:space="preserve">27</w:t>
      </w:r>
      <w:r w:rsidDel="00000000" w:rsidR="00000000" w:rsidRPr="00000000">
        <w:rPr>
          <w:rtl w:val="0"/>
        </w:rPr>
        <w:t xml:space="preserve">(1), 10–17. </w:t>
      </w:r>
      <w:hyperlink r:id="rId6">
        <w:r w:rsidDel="00000000" w:rsidR="00000000" w:rsidRPr="00000000">
          <w:rPr>
            <w:color w:val="0563c1"/>
            <w:u w:val="single"/>
            <w:rtl w:val="0"/>
          </w:rPr>
          <w:t xml:space="preserve">https://doi.org/10.1177/0022034515582062</w:t>
        </w:r>
      </w:hyperlink>
      <w:r w:rsidDel="00000000" w:rsidR="00000000" w:rsidRPr="00000000">
        <w:rPr>
          <w:rtl w:val="0"/>
        </w:rPr>
      </w:r>
    </w:p>
    <w:p w:rsidR="00000000" w:rsidDel="00000000" w:rsidP="00000000" w:rsidRDefault="00000000" w:rsidRPr="00000000" w14:paraId="0000037F">
      <w:pPr>
        <w:ind w:hanging="480"/>
        <w:rPr>
          <w:i w:val="1"/>
          <w:sz w:val="24"/>
          <w:szCs w:val="24"/>
        </w:rPr>
      </w:pPr>
      <w:r w:rsidDel="00000000" w:rsidR="00000000" w:rsidRPr="00000000">
        <w:rPr>
          <w:sz w:val="24"/>
          <w:szCs w:val="24"/>
          <w:rtl w:val="0"/>
        </w:rPr>
        <w:t xml:space="preserve">Ahluwalia, K., Mutave, R., Gianfrancesco, C., &amp; Nicholas, S. (2018). Summit to Address Oral Health In East Africa: A framework to integrate Oral Health and Health. </w:t>
      </w:r>
      <w:r w:rsidDel="00000000" w:rsidR="00000000" w:rsidRPr="00000000">
        <w:rPr>
          <w:i w:val="1"/>
          <w:sz w:val="24"/>
          <w:szCs w:val="24"/>
          <w:rtl w:val="0"/>
        </w:rPr>
        <w:t xml:space="preserve">Columbia University.</w:t>
      </w:r>
    </w:p>
    <w:p w:rsidR="00000000" w:rsidDel="00000000" w:rsidP="00000000" w:rsidRDefault="00000000" w:rsidRPr="00000000" w14:paraId="00000380">
      <w:pPr>
        <w:ind w:hanging="480"/>
        <w:rPr/>
      </w:pPr>
      <w:r w:rsidDel="00000000" w:rsidR="00000000" w:rsidRPr="00000000">
        <w:rPr>
          <w:rtl w:val="0"/>
        </w:rPr>
        <w:t xml:space="preserve">Benedetti, G., Stauf, N., Strohmenger, L., Campus, G., &amp; Benzian, H. (2015). Political priority of oral health in Italy: An analysis of reasons for national neglect. </w:t>
      </w:r>
      <w:r w:rsidDel="00000000" w:rsidR="00000000" w:rsidRPr="00000000">
        <w:rPr>
          <w:i w:val="1"/>
          <w:rtl w:val="0"/>
        </w:rPr>
        <w:t xml:space="preserve">International Dental Journal</w:t>
      </w:r>
      <w:r w:rsidDel="00000000" w:rsidR="00000000" w:rsidRPr="00000000">
        <w:rPr>
          <w:rtl w:val="0"/>
        </w:rPr>
        <w:t xml:space="preserve">, </w:t>
      </w:r>
      <w:r w:rsidDel="00000000" w:rsidR="00000000" w:rsidRPr="00000000">
        <w:rPr>
          <w:i w:val="1"/>
          <w:rtl w:val="0"/>
        </w:rPr>
        <w:t xml:space="preserve">65</w:t>
      </w:r>
      <w:r w:rsidDel="00000000" w:rsidR="00000000" w:rsidRPr="00000000">
        <w:rPr>
          <w:rtl w:val="0"/>
        </w:rPr>
        <w:t xml:space="preserve">(2), 89–95. https://doi.org/10.1111/idj.12144</w:t>
      </w:r>
    </w:p>
    <w:p w:rsidR="00000000" w:rsidDel="00000000" w:rsidP="00000000" w:rsidRDefault="00000000" w:rsidRPr="00000000" w14:paraId="00000381">
      <w:pPr>
        <w:ind w:hanging="480"/>
        <w:rPr/>
      </w:pPr>
      <w:r w:rsidDel="00000000" w:rsidR="00000000" w:rsidRPr="00000000">
        <w:rPr>
          <w:rtl w:val="0"/>
        </w:rPr>
        <w:t xml:space="preserve">Benzian, H., Hobdell, M., Holmgren, C., Yee, R., Monse, B., Barnard, J. T., &amp; van Palenstein Helderman, W. (2011). Political priority of global oral health: An analysis of reasons for international neglect. </w:t>
      </w:r>
      <w:r w:rsidDel="00000000" w:rsidR="00000000" w:rsidRPr="00000000">
        <w:rPr>
          <w:i w:val="1"/>
          <w:rtl w:val="0"/>
        </w:rPr>
        <w:t xml:space="preserve">International Dental Journal</w:t>
      </w:r>
      <w:r w:rsidDel="00000000" w:rsidR="00000000" w:rsidRPr="00000000">
        <w:rPr>
          <w:rtl w:val="0"/>
        </w:rPr>
        <w:t xml:space="preserve">, </w:t>
      </w:r>
      <w:r w:rsidDel="00000000" w:rsidR="00000000" w:rsidRPr="00000000">
        <w:rPr>
          <w:i w:val="1"/>
          <w:rtl w:val="0"/>
        </w:rPr>
        <w:t xml:space="preserve">61</w:t>
      </w:r>
      <w:r w:rsidDel="00000000" w:rsidR="00000000" w:rsidRPr="00000000">
        <w:rPr>
          <w:rtl w:val="0"/>
        </w:rPr>
        <w:t xml:space="preserve">(3), 124–130. </w:t>
      </w:r>
      <w:hyperlink r:id="rId7">
        <w:r w:rsidDel="00000000" w:rsidR="00000000" w:rsidRPr="00000000">
          <w:rPr>
            <w:color w:val="0563c1"/>
            <w:u w:val="single"/>
            <w:rtl w:val="0"/>
          </w:rPr>
          <w:t xml:space="preserve">https://doi.org/10.1111/j.1875-595X.2011.00028.x</w:t>
        </w:r>
      </w:hyperlink>
      <w:r w:rsidDel="00000000" w:rsidR="00000000" w:rsidRPr="00000000">
        <w:rPr>
          <w:rtl w:val="0"/>
        </w:rPr>
      </w:r>
    </w:p>
    <w:p w:rsidR="00000000" w:rsidDel="00000000" w:rsidP="00000000" w:rsidRDefault="00000000" w:rsidRPr="00000000" w14:paraId="00000382">
      <w:pPr>
        <w:ind w:hanging="480"/>
        <w:rPr/>
      </w:pPr>
      <w:r w:rsidDel="00000000" w:rsidR="00000000" w:rsidRPr="00000000">
        <w:rPr>
          <w:rtl w:val="0"/>
        </w:rPr>
        <w:t xml:space="preserve">Bernabe, E., Marcenes, W., Hernandez, C. R., Bailey, J., Abreu, L. G., Alipour, V., Amini, S., Arabloo, J., Arefi, Z., Arora, A., Ayanore, M. A., Bärnighausen, T. W., Bijani, A., Cho, D. Y., Chu, D. T., Crowe, C. S., Demoz, G. T., Demsie, D. G., Dibaji Forooshani, Z. S., … Kassebaum, N. J. (2020). Global, Regional, and National Levels and Trends in Burden of Oral Conditions from 1990 to 2017: A Systematic Analysis for the Global Burden of Disease 2017 Study. </w:t>
      </w:r>
      <w:r w:rsidDel="00000000" w:rsidR="00000000" w:rsidRPr="00000000">
        <w:rPr>
          <w:i w:val="1"/>
          <w:rtl w:val="0"/>
        </w:rPr>
        <w:t xml:space="preserve">Journal of Dental Research, 99</w:t>
      </w:r>
      <w:r w:rsidDel="00000000" w:rsidR="00000000" w:rsidRPr="00000000">
        <w:rPr>
          <w:rtl w:val="0"/>
        </w:rPr>
        <w:t xml:space="preserve">(4), 362–373. </w:t>
      </w:r>
      <w:hyperlink r:id="rId8">
        <w:r w:rsidDel="00000000" w:rsidR="00000000" w:rsidRPr="00000000">
          <w:rPr>
            <w:color w:val="0563c1"/>
            <w:u w:val="single"/>
            <w:rtl w:val="0"/>
          </w:rPr>
          <w:t xml:space="preserve">https://doi.org/10.1177/0022034520908533</w:t>
        </w:r>
      </w:hyperlink>
      <w:r w:rsidDel="00000000" w:rsidR="00000000" w:rsidRPr="00000000">
        <w:rPr>
          <w:rtl w:val="0"/>
        </w:rPr>
      </w:r>
    </w:p>
    <w:p w:rsidR="00000000" w:rsidDel="00000000" w:rsidP="00000000" w:rsidRDefault="00000000" w:rsidRPr="00000000" w14:paraId="00000383">
      <w:pPr>
        <w:ind w:hanging="480"/>
        <w:rPr/>
      </w:pPr>
      <w:r w:rsidDel="00000000" w:rsidR="00000000" w:rsidRPr="00000000">
        <w:rPr>
          <w:rtl w:val="0"/>
        </w:rPr>
        <w:t xml:space="preserve">Crean, S., &amp; Batchelor, P. (2019). Oral health and the Millennium and Sustainable Development Goals. </w:t>
      </w:r>
      <w:r w:rsidDel="00000000" w:rsidR="00000000" w:rsidRPr="00000000">
        <w:rPr>
          <w:i w:val="1"/>
          <w:rtl w:val="0"/>
        </w:rPr>
        <w:t xml:space="preserve">Faculty Dental Journal, 10</w:t>
      </w:r>
      <w:r w:rsidDel="00000000" w:rsidR="00000000" w:rsidRPr="00000000">
        <w:rPr>
          <w:rtl w:val="0"/>
        </w:rPr>
        <w:t xml:space="preserve">(2), 58–60. </w:t>
      </w:r>
      <w:hyperlink r:id="rId9">
        <w:r w:rsidDel="00000000" w:rsidR="00000000" w:rsidRPr="00000000">
          <w:rPr>
            <w:color w:val="0563c1"/>
            <w:u w:val="single"/>
            <w:rtl w:val="0"/>
          </w:rPr>
          <w:t xml:space="preserve">https://doi.org/10.1308/rcsfdj.2019.58</w:t>
        </w:r>
      </w:hyperlink>
      <w:r w:rsidDel="00000000" w:rsidR="00000000" w:rsidRPr="00000000">
        <w:rPr>
          <w:rtl w:val="0"/>
        </w:rPr>
      </w:r>
    </w:p>
    <w:p w:rsidR="00000000" w:rsidDel="00000000" w:rsidP="00000000" w:rsidRDefault="00000000" w:rsidRPr="00000000" w14:paraId="00000384">
      <w:pPr>
        <w:ind w:hanging="480"/>
        <w:rPr/>
      </w:pPr>
      <w:r w:rsidDel="00000000" w:rsidR="00000000" w:rsidRPr="00000000">
        <w:rPr>
          <w:rtl w:val="0"/>
        </w:rPr>
        <w:t xml:space="preserve">Department of Health, Western Cape. South African National Oral Health Strategy. </w:t>
      </w:r>
      <w:hyperlink r:id="rId10">
        <w:r w:rsidDel="00000000" w:rsidR="00000000" w:rsidRPr="00000000">
          <w:rPr>
            <w:color w:val="0563c1"/>
            <w:u w:val="single"/>
            <w:rtl w:val="0"/>
          </w:rPr>
          <w:t xml:space="preserve">https://www.westerncape.gov.za/text/2003/national_policy_oral_health_sa.pdf</w:t>
        </w:r>
      </w:hyperlink>
      <w:r w:rsidDel="00000000" w:rsidR="00000000" w:rsidRPr="00000000">
        <w:rPr>
          <w:rtl w:val="0"/>
        </w:rPr>
      </w:r>
    </w:p>
    <w:p w:rsidR="00000000" w:rsidDel="00000000" w:rsidP="00000000" w:rsidRDefault="00000000" w:rsidRPr="00000000" w14:paraId="00000385">
      <w:pPr>
        <w:ind w:hanging="480"/>
        <w:rPr/>
      </w:pPr>
      <w:r w:rsidDel="00000000" w:rsidR="00000000" w:rsidRPr="00000000">
        <w:rPr>
          <w:rtl w:val="0"/>
        </w:rPr>
        <w:t xml:space="preserve">Dye, B. A. (2017). The Global Burden of Oral Disease: Research and Public Health Significance. </w:t>
      </w:r>
      <w:r w:rsidDel="00000000" w:rsidR="00000000" w:rsidRPr="00000000">
        <w:rPr>
          <w:i w:val="1"/>
          <w:rtl w:val="0"/>
        </w:rPr>
        <w:t xml:space="preserve">Journal of Dental Research, 96</w:t>
      </w:r>
      <w:r w:rsidDel="00000000" w:rsidR="00000000" w:rsidRPr="00000000">
        <w:rPr>
          <w:rtl w:val="0"/>
        </w:rPr>
        <w:t xml:space="preserve">(4), 361–363. https://doi.org/10.1177/0022034517693567</w:t>
      </w:r>
    </w:p>
    <w:p w:rsidR="00000000" w:rsidDel="00000000" w:rsidP="00000000" w:rsidRDefault="00000000" w:rsidRPr="00000000" w14:paraId="00000386">
      <w:pPr>
        <w:ind w:hanging="480"/>
        <w:rPr/>
      </w:pPr>
      <w:r w:rsidDel="00000000" w:rsidR="00000000" w:rsidRPr="00000000">
        <w:rPr>
          <w:rtl w:val="0"/>
        </w:rPr>
        <w:t xml:space="preserve">Emami, E., Harnagea, H., Girard, F., Charbonneau, A., Voyer, R., Bedos, C. P., Chartier, M., Wootton, J., &amp; Couturier, Y. (2016). Integration of oral health into primary care: A scoping review protocol. </w:t>
      </w:r>
      <w:r w:rsidDel="00000000" w:rsidR="00000000" w:rsidRPr="00000000">
        <w:rPr>
          <w:i w:val="1"/>
          <w:rtl w:val="0"/>
        </w:rPr>
        <w:t xml:space="preserve">BMJ Open</w:t>
      </w:r>
      <w:r w:rsidDel="00000000" w:rsidR="00000000" w:rsidRPr="00000000">
        <w:rPr>
          <w:rtl w:val="0"/>
        </w:rPr>
        <w:t xml:space="preserve">, </w:t>
      </w:r>
      <w:r w:rsidDel="00000000" w:rsidR="00000000" w:rsidRPr="00000000">
        <w:rPr>
          <w:i w:val="1"/>
          <w:rtl w:val="0"/>
        </w:rPr>
        <w:t xml:space="preserve">6</w:t>
      </w:r>
      <w:r w:rsidDel="00000000" w:rsidR="00000000" w:rsidRPr="00000000">
        <w:rPr>
          <w:rtl w:val="0"/>
        </w:rPr>
        <w:t xml:space="preserve">(10), 1–5. </w:t>
      </w:r>
      <w:hyperlink r:id="rId11">
        <w:r w:rsidDel="00000000" w:rsidR="00000000" w:rsidRPr="00000000">
          <w:rPr>
            <w:color w:val="0563c1"/>
            <w:u w:val="single"/>
            <w:rtl w:val="0"/>
          </w:rPr>
          <w:t xml:space="preserve">https://doi.org/10.1136/bmjopen-2016-013807</w:t>
        </w:r>
      </w:hyperlink>
      <w:r w:rsidDel="00000000" w:rsidR="00000000" w:rsidRPr="00000000">
        <w:rPr>
          <w:rtl w:val="0"/>
        </w:rPr>
      </w:r>
    </w:p>
    <w:p w:rsidR="00000000" w:rsidDel="00000000" w:rsidP="00000000" w:rsidRDefault="00000000" w:rsidRPr="00000000" w14:paraId="00000387">
      <w:pPr>
        <w:ind w:hanging="480"/>
        <w:rPr/>
      </w:pPr>
      <w:r w:rsidDel="00000000" w:rsidR="00000000" w:rsidRPr="00000000">
        <w:rPr>
          <w:rtl w:val="0"/>
        </w:rPr>
        <w:t xml:space="preserve">Farmer, P. E., &amp; Kim, J. y. (2008). Surgery and Global Health: A view from Beyond the OR. </w:t>
      </w:r>
      <w:r w:rsidDel="00000000" w:rsidR="00000000" w:rsidRPr="00000000">
        <w:rPr>
          <w:i w:val="1"/>
          <w:rtl w:val="0"/>
        </w:rPr>
        <w:t xml:space="preserve">World Journal of Surgery, 32</w:t>
      </w:r>
      <w:r w:rsidDel="00000000" w:rsidR="00000000" w:rsidRPr="00000000">
        <w:rPr>
          <w:rtl w:val="0"/>
        </w:rPr>
        <w:t xml:space="preserve">, 533–536.</w:t>
      </w:r>
    </w:p>
    <w:p w:rsidR="00000000" w:rsidDel="00000000" w:rsidP="00000000" w:rsidRDefault="00000000" w:rsidRPr="00000000" w14:paraId="00000388">
      <w:pPr>
        <w:ind w:hanging="480"/>
        <w:rPr/>
      </w:pPr>
      <w:bookmarkStart w:colFirst="0" w:colLast="0" w:name="_2zbgiuw" w:id="21"/>
      <w:bookmarkEnd w:id="21"/>
      <w:r w:rsidDel="00000000" w:rsidR="00000000" w:rsidRPr="00000000">
        <w:rPr>
          <w:rtl w:val="0"/>
        </w:rPr>
        <w:t xml:space="preserve">Haakenstad, A., Moses, M. W., Tao, T., Tsakalos, G., Zlavog, B., Kates, J., Wexler, A., Murray, C. J. L., &amp; Dieleman, J. L. (2019). Potential for additional government spending on HIV/AIDS in 137 low-income and middle-income countries: an economic modelling study. </w:t>
      </w:r>
      <w:r w:rsidDel="00000000" w:rsidR="00000000" w:rsidRPr="00000000">
        <w:rPr>
          <w:i w:val="1"/>
          <w:rtl w:val="0"/>
        </w:rPr>
        <w:t xml:space="preserve">The Lancet HIV, 6</w:t>
      </w:r>
      <w:r w:rsidDel="00000000" w:rsidR="00000000" w:rsidRPr="00000000">
        <w:rPr>
          <w:rtl w:val="0"/>
        </w:rPr>
        <w:t xml:space="preserve">(6), e382–e395.</w:t>
      </w:r>
    </w:p>
    <w:p w:rsidR="00000000" w:rsidDel="00000000" w:rsidP="00000000" w:rsidRDefault="00000000" w:rsidRPr="00000000" w14:paraId="00000389">
      <w:pPr>
        <w:ind w:hanging="480"/>
        <w:rPr/>
      </w:pPr>
      <w:r w:rsidDel="00000000" w:rsidR="00000000" w:rsidRPr="00000000">
        <w:rPr>
          <w:rtl w:val="0"/>
        </w:rPr>
        <w:t xml:space="preserve">Harnagea, H., Couturier, Y., Shrivastava, R., Girard, Felix., Lamothe, L., Bedos, C. P., &amp; Emami, E. (2017). Barriers and facilitators in the integration of oral health into primary care: a scoping review. </w:t>
      </w:r>
      <w:r w:rsidDel="00000000" w:rsidR="00000000" w:rsidRPr="00000000">
        <w:rPr>
          <w:i w:val="1"/>
          <w:rtl w:val="0"/>
        </w:rPr>
        <w:t xml:space="preserve">BMJ Open</w:t>
      </w:r>
      <w:r w:rsidDel="00000000" w:rsidR="00000000" w:rsidRPr="00000000">
        <w:rPr>
          <w:rtl w:val="0"/>
        </w:rPr>
        <w:t xml:space="preserve">, </w:t>
      </w:r>
      <w:r w:rsidDel="00000000" w:rsidR="00000000" w:rsidRPr="00000000">
        <w:rPr>
          <w:i w:val="1"/>
          <w:rtl w:val="0"/>
        </w:rPr>
        <w:t xml:space="preserve">7</w:t>
      </w:r>
      <w:r w:rsidDel="00000000" w:rsidR="00000000" w:rsidRPr="00000000">
        <w:rPr>
          <w:rtl w:val="0"/>
        </w:rPr>
        <w:t xml:space="preserve">, 1–17.</w:t>
      </w:r>
    </w:p>
    <w:p w:rsidR="00000000" w:rsidDel="00000000" w:rsidP="00000000" w:rsidRDefault="00000000" w:rsidRPr="00000000" w14:paraId="0000038A">
      <w:pPr>
        <w:ind w:hanging="480"/>
        <w:rPr/>
      </w:pPr>
      <w:r w:rsidDel="00000000" w:rsidR="00000000" w:rsidRPr="00000000">
        <w:rPr>
          <w:rtl w:val="0"/>
        </w:rPr>
        <w:t xml:space="preserve">Harnagea, H., Lamothe, L., Couturier, Y., Esfandiari, S., Voyer, R., Charbonneau, A., &amp; Emami, E. (2018). From theoretical concepts to policies and applied programmes: The landscape of integration of oral health in primary care. </w:t>
      </w:r>
      <w:r w:rsidDel="00000000" w:rsidR="00000000" w:rsidRPr="00000000">
        <w:rPr>
          <w:i w:val="1"/>
          <w:rtl w:val="0"/>
        </w:rPr>
        <w:t xml:space="preserve">BMC Oral Health</w:t>
      </w:r>
      <w:r w:rsidDel="00000000" w:rsidR="00000000" w:rsidRPr="00000000">
        <w:rPr>
          <w:rtl w:val="0"/>
        </w:rPr>
        <w:t xml:space="preserve">, </w:t>
      </w:r>
      <w:r w:rsidDel="00000000" w:rsidR="00000000" w:rsidRPr="00000000">
        <w:rPr>
          <w:i w:val="1"/>
          <w:rtl w:val="0"/>
        </w:rPr>
        <w:t xml:space="preserve">18</w:t>
      </w:r>
      <w:r w:rsidDel="00000000" w:rsidR="00000000" w:rsidRPr="00000000">
        <w:rPr>
          <w:rtl w:val="0"/>
        </w:rPr>
        <w:t xml:space="preserve">(1), 1–12. https://doi.org/10.1186/s12903-018-0484-8</w:t>
      </w:r>
    </w:p>
    <w:p w:rsidR="00000000" w:rsidDel="00000000" w:rsidP="00000000" w:rsidRDefault="00000000" w:rsidRPr="00000000" w14:paraId="0000038B">
      <w:pPr>
        <w:ind w:hanging="480"/>
        <w:rPr/>
      </w:pPr>
      <w:r w:rsidDel="00000000" w:rsidR="00000000" w:rsidRPr="00000000">
        <w:rPr>
          <w:rtl w:val="0"/>
        </w:rPr>
        <w:t xml:space="preserve">Heller, O., Somerville, C., Suzanne Suggs, L., Lachat, S., Piper, J., Pastrana, N. A., Correia, J. C., Jaime Miranda, J., &amp; Beran, D. (2019). The process of prioritization of non-communicable diseases in the global health policy arena. </w:t>
      </w:r>
      <w:r w:rsidDel="00000000" w:rsidR="00000000" w:rsidRPr="00000000">
        <w:rPr>
          <w:i w:val="1"/>
          <w:rtl w:val="0"/>
        </w:rPr>
        <w:t xml:space="preserve">Health Policy and Planning</w:t>
      </w:r>
      <w:r w:rsidDel="00000000" w:rsidR="00000000" w:rsidRPr="00000000">
        <w:rPr>
          <w:rtl w:val="0"/>
        </w:rPr>
        <w:t xml:space="preserve">, </w:t>
      </w:r>
      <w:r w:rsidDel="00000000" w:rsidR="00000000" w:rsidRPr="00000000">
        <w:rPr>
          <w:i w:val="1"/>
          <w:rtl w:val="0"/>
        </w:rPr>
        <w:t xml:space="preserve">34</w:t>
      </w:r>
      <w:r w:rsidDel="00000000" w:rsidR="00000000" w:rsidRPr="00000000">
        <w:rPr>
          <w:rtl w:val="0"/>
        </w:rPr>
        <w:t xml:space="preserve">(5), 370–383. </w:t>
      </w:r>
      <w:hyperlink r:id="rId12">
        <w:r w:rsidDel="00000000" w:rsidR="00000000" w:rsidRPr="00000000">
          <w:rPr>
            <w:color w:val="0563c1"/>
            <w:u w:val="single"/>
            <w:rtl w:val="0"/>
          </w:rPr>
          <w:t xml:space="preserve">https://doi.org/10.1093/heapol/czz043</w:t>
        </w:r>
      </w:hyperlink>
      <w:r w:rsidDel="00000000" w:rsidR="00000000" w:rsidRPr="00000000">
        <w:rPr>
          <w:rtl w:val="0"/>
        </w:rPr>
      </w:r>
    </w:p>
    <w:p w:rsidR="00000000" w:rsidDel="00000000" w:rsidP="00000000" w:rsidRDefault="00000000" w:rsidRPr="00000000" w14:paraId="0000038C">
      <w:pPr>
        <w:ind w:hanging="480"/>
        <w:rPr/>
      </w:pPr>
      <w:r w:rsidDel="00000000" w:rsidR="00000000" w:rsidRPr="00000000">
        <w:rPr>
          <w:rtl w:val="0"/>
        </w:rPr>
        <w:t xml:space="preserve">Hobdell, M., Petersen, P. E., Clarkson, J., &amp; Johnson, N. (2003). Global Goals for Oral Health 2020. </w:t>
      </w:r>
      <w:r w:rsidDel="00000000" w:rsidR="00000000" w:rsidRPr="00000000">
        <w:rPr>
          <w:i w:val="1"/>
          <w:rtl w:val="0"/>
        </w:rPr>
        <w:t xml:space="preserve">International Dental Journal, 53</w:t>
      </w:r>
      <w:r w:rsidDel="00000000" w:rsidR="00000000" w:rsidRPr="00000000">
        <w:rPr>
          <w:rtl w:val="0"/>
        </w:rPr>
        <w:t xml:space="preserve">(5), 285–288.</w:t>
      </w:r>
    </w:p>
    <w:p w:rsidR="00000000" w:rsidDel="00000000" w:rsidP="00000000" w:rsidRDefault="00000000" w:rsidRPr="00000000" w14:paraId="0000038D">
      <w:pPr>
        <w:ind w:hanging="480"/>
        <w:rPr/>
      </w:pPr>
      <w:r w:rsidDel="00000000" w:rsidR="00000000" w:rsidRPr="00000000">
        <w:rPr>
          <w:rtl w:val="0"/>
        </w:rPr>
        <w:t xml:space="preserve">Huang, Y. K., &amp; Chang, Y. C. (2022). Oral health: The first step to sustainable development goal 3. </w:t>
      </w:r>
      <w:r w:rsidDel="00000000" w:rsidR="00000000" w:rsidRPr="00000000">
        <w:rPr>
          <w:i w:val="1"/>
          <w:rtl w:val="0"/>
        </w:rPr>
        <w:t xml:space="preserve">Journal of the Formosan Medical Association, 121</w:t>
      </w:r>
      <w:r w:rsidDel="00000000" w:rsidR="00000000" w:rsidRPr="00000000">
        <w:rPr>
          <w:rtl w:val="0"/>
        </w:rPr>
        <w:t xml:space="preserve">, 1348–1350. https://doi.org/10.1016/j.jfma.2021.10.018</w:t>
      </w:r>
    </w:p>
    <w:p w:rsidR="00000000" w:rsidDel="00000000" w:rsidP="00000000" w:rsidRDefault="00000000" w:rsidRPr="00000000" w14:paraId="0000038E">
      <w:pPr>
        <w:ind w:hanging="480"/>
        <w:rPr/>
      </w:pPr>
      <w:r w:rsidDel="00000000" w:rsidR="00000000" w:rsidRPr="00000000">
        <w:rPr>
          <w:rtl w:val="0"/>
        </w:rPr>
        <w:t xml:space="preserve">Janakiram, C., Sanjeevan, V., Rajeev, B. R., Joseph, J., Stauf, N., &amp; Benzian, H. (2018). Political priority of oral health in India: analysis of the reasons for neglect. </w:t>
      </w:r>
      <w:r w:rsidDel="00000000" w:rsidR="00000000" w:rsidRPr="00000000">
        <w:rPr>
          <w:i w:val="1"/>
          <w:rtl w:val="0"/>
        </w:rPr>
        <w:t xml:space="preserve">Journal of Public Health Dentistry</w:t>
      </w:r>
      <w:r w:rsidDel="00000000" w:rsidR="00000000" w:rsidRPr="00000000">
        <w:rPr>
          <w:rtl w:val="0"/>
        </w:rPr>
        <w:t xml:space="preserve">, </w:t>
      </w:r>
      <w:r w:rsidDel="00000000" w:rsidR="00000000" w:rsidRPr="00000000">
        <w:rPr>
          <w:i w:val="1"/>
          <w:rtl w:val="0"/>
        </w:rPr>
        <w:t xml:space="preserve">78</w:t>
      </w:r>
      <w:r w:rsidDel="00000000" w:rsidR="00000000" w:rsidRPr="00000000">
        <w:rPr>
          <w:rtl w:val="0"/>
        </w:rPr>
        <w:t xml:space="preserve">(2), 144–153. </w:t>
      </w:r>
      <w:hyperlink r:id="rId13">
        <w:r w:rsidDel="00000000" w:rsidR="00000000" w:rsidRPr="00000000">
          <w:rPr>
            <w:color w:val="0563c1"/>
            <w:u w:val="single"/>
            <w:rtl w:val="0"/>
          </w:rPr>
          <w:t xml:space="preserve">https://doi.org/10.1111/jphd.12254</w:t>
        </w:r>
      </w:hyperlink>
      <w:r w:rsidDel="00000000" w:rsidR="00000000" w:rsidRPr="00000000">
        <w:rPr>
          <w:rtl w:val="0"/>
        </w:rPr>
      </w:r>
    </w:p>
    <w:p w:rsidR="00000000" w:rsidDel="00000000" w:rsidP="00000000" w:rsidRDefault="00000000" w:rsidRPr="00000000" w14:paraId="0000038F">
      <w:pPr>
        <w:ind w:hanging="480"/>
        <w:rPr/>
      </w:pPr>
      <w:r w:rsidDel="00000000" w:rsidR="00000000" w:rsidRPr="00000000">
        <w:rPr>
          <w:rtl w:val="0"/>
        </w:rPr>
        <w:t xml:space="preserve">Lozano, R., Naghavi, M., Foreman, K., Lim, S., Shibuya, K., Aboyans, V., Abraham, J., Adair, T., Aggarwal, R., Ahn, S. Y., Alvarado, M., Anderson, H. R., Anderson, L. M., Andrews, K. G., Atkinson, C., Baddour, L. M., Barker-Collo, S., Bartels, D. H., Bell, M. L., … Murray, C. J. L. (2012). Global and regional mortality from 235 causes of death for 20 age groups in 1990 and 2010: A systematic analysis for the Global Burden of Disease Study 2010. </w:t>
      </w:r>
      <w:r w:rsidDel="00000000" w:rsidR="00000000" w:rsidRPr="00000000">
        <w:rPr>
          <w:i w:val="1"/>
          <w:rtl w:val="0"/>
        </w:rPr>
        <w:t xml:space="preserve">The Lancet, 380</w:t>
      </w:r>
      <w:r w:rsidDel="00000000" w:rsidR="00000000" w:rsidRPr="00000000">
        <w:rPr>
          <w:rtl w:val="0"/>
        </w:rPr>
        <w:t xml:space="preserve">(9859), 2095–2128. </w:t>
      </w:r>
      <w:hyperlink r:id="rId14">
        <w:r w:rsidDel="00000000" w:rsidR="00000000" w:rsidRPr="00000000">
          <w:rPr>
            <w:color w:val="0563c1"/>
            <w:u w:val="single"/>
            <w:rtl w:val="0"/>
          </w:rPr>
          <w:t xml:space="preserve">https://doi.org/10.1016/S0140-6736(12)61728-0</w:t>
        </w:r>
      </w:hyperlink>
      <w:r w:rsidDel="00000000" w:rsidR="00000000" w:rsidRPr="00000000">
        <w:rPr>
          <w:rtl w:val="0"/>
        </w:rPr>
      </w:r>
    </w:p>
    <w:p w:rsidR="00000000" w:rsidDel="00000000" w:rsidP="00000000" w:rsidRDefault="00000000" w:rsidRPr="00000000" w14:paraId="00000390">
      <w:pPr>
        <w:ind w:hanging="480"/>
        <w:rPr/>
      </w:pPr>
      <w:r w:rsidDel="00000000" w:rsidR="00000000" w:rsidRPr="00000000">
        <w:rPr>
          <w:rtl w:val="0"/>
        </w:rPr>
        <w:t xml:space="preserve">Marcenes, W., Kassebaum, N. J., Bernabé, E., Flaxman, A., Naghavi, M., Lopez, A., &amp; Murray, C. J. L. (2013). Global burden of oral conditions in 1990-2010: A systematic analysis. </w:t>
      </w:r>
      <w:r w:rsidDel="00000000" w:rsidR="00000000" w:rsidRPr="00000000">
        <w:rPr>
          <w:i w:val="1"/>
          <w:rtl w:val="0"/>
        </w:rPr>
        <w:t xml:space="preserve">Journal of Dental Research, 92</w:t>
      </w:r>
      <w:r w:rsidDel="00000000" w:rsidR="00000000" w:rsidRPr="00000000">
        <w:rPr>
          <w:rtl w:val="0"/>
        </w:rPr>
        <w:t xml:space="preserve">(7), 592–597. https://doi.org/10.1177/0022034513490168</w:t>
      </w:r>
    </w:p>
    <w:p w:rsidR="00000000" w:rsidDel="00000000" w:rsidP="00000000" w:rsidRDefault="00000000" w:rsidRPr="00000000" w14:paraId="00000391">
      <w:pPr>
        <w:ind w:hanging="480"/>
        <w:rPr/>
      </w:pPr>
      <w:r w:rsidDel="00000000" w:rsidR="00000000" w:rsidRPr="00000000">
        <w:rPr>
          <w:rtl w:val="0"/>
        </w:rPr>
        <w:t xml:space="preserve">Masood, M., Sheiham, A., &amp; Bernabé, E. (2015). </w:t>
      </w:r>
      <w:r w:rsidDel="00000000" w:rsidR="00000000" w:rsidRPr="00000000">
        <w:rPr>
          <w:i w:val="1"/>
          <w:rtl w:val="0"/>
        </w:rPr>
        <w:t xml:space="preserve">Household Expenditure for Dental Care in Low and Middle Income Countries</w:t>
      </w:r>
      <w:r w:rsidDel="00000000" w:rsidR="00000000" w:rsidRPr="00000000">
        <w:rPr>
          <w:rtl w:val="0"/>
        </w:rPr>
        <w:t xml:space="preserve">. </w:t>
      </w:r>
      <w:hyperlink r:id="rId15">
        <w:r w:rsidDel="00000000" w:rsidR="00000000" w:rsidRPr="00000000">
          <w:rPr>
            <w:color w:val="0563c1"/>
            <w:u w:val="single"/>
            <w:rtl w:val="0"/>
          </w:rPr>
          <w:t xml:space="preserve">https://doi.org/10.1371/journal.pone.0123075</w:t>
        </w:r>
      </w:hyperlink>
      <w:r w:rsidDel="00000000" w:rsidR="00000000" w:rsidRPr="00000000">
        <w:rPr>
          <w:rtl w:val="0"/>
        </w:rPr>
      </w:r>
    </w:p>
    <w:p w:rsidR="00000000" w:rsidDel="00000000" w:rsidP="00000000" w:rsidRDefault="00000000" w:rsidRPr="00000000" w14:paraId="00000392">
      <w:pPr>
        <w:ind w:hanging="480"/>
        <w:rPr/>
      </w:pPr>
      <w:r w:rsidDel="00000000" w:rsidR="00000000" w:rsidRPr="00000000">
        <w:rPr>
          <w:rtl w:val="0"/>
        </w:rPr>
        <w:t xml:space="preserve">Mathur, M. R., Williams, D. M., Reddy, K. S., &amp; Watt, R. G. (2015). Universal health coverage: A unique policy opportunity for oral health. Journal of Dental Research, 94(3), 3S-5S. https://doi.org/10.1177/0022034514565648</w:t>
      </w:r>
    </w:p>
    <w:p w:rsidR="00000000" w:rsidDel="00000000" w:rsidP="00000000" w:rsidRDefault="00000000" w:rsidRPr="00000000" w14:paraId="00000393">
      <w:pPr>
        <w:ind w:hanging="480"/>
        <w:rPr/>
      </w:pPr>
      <w:r w:rsidDel="00000000" w:rsidR="00000000" w:rsidRPr="00000000">
        <w:rPr>
          <w:rtl w:val="0"/>
        </w:rPr>
        <w:t xml:space="preserve">Ministry of Health. (2015). </w:t>
      </w:r>
      <w:r w:rsidDel="00000000" w:rsidR="00000000" w:rsidRPr="00000000">
        <w:rPr>
          <w:i w:val="1"/>
          <w:rtl w:val="0"/>
        </w:rPr>
        <w:t xml:space="preserve">Kenya National Oral Health Survey</w:t>
      </w:r>
      <w:r w:rsidDel="00000000" w:rsidR="00000000" w:rsidRPr="00000000">
        <w:rPr>
          <w:rtl w:val="0"/>
        </w:rPr>
        <w:t xml:space="preserve">. 25–26. https://profiles.uonbi.ac.ke/gathece/files/kenya_national_oral_health_survey_report_2015_0.pdf</w:t>
      </w:r>
    </w:p>
    <w:p w:rsidR="00000000" w:rsidDel="00000000" w:rsidP="00000000" w:rsidRDefault="00000000" w:rsidRPr="00000000" w14:paraId="00000394">
      <w:pPr>
        <w:ind w:hanging="480"/>
        <w:rPr/>
      </w:pPr>
      <w:r w:rsidDel="00000000" w:rsidR="00000000" w:rsidRPr="00000000">
        <w:rPr>
          <w:rtl w:val="0"/>
        </w:rPr>
        <w:t xml:space="preserve">Ministry of Health-Kenya. (2022). </w:t>
      </w:r>
      <w:r w:rsidDel="00000000" w:rsidR="00000000" w:rsidRPr="00000000">
        <w:rPr>
          <w:i w:val="1"/>
          <w:rtl w:val="0"/>
        </w:rPr>
        <w:t xml:space="preserve">KENYA NATIONAL ORAL HEALTH POLICY 2022-2030</w:t>
      </w:r>
      <w:r w:rsidDel="00000000" w:rsidR="00000000" w:rsidRPr="00000000">
        <w:rPr>
          <w:rtl w:val="0"/>
        </w:rPr>
        <w:t xml:space="preserve">. https://www.researchgate.net/publication/269107473_What_is_governance/link/548173090cf22525dcb61443/download%0Ahttp://www.econ.upf.edu/~reynal/Civil wars_12December2010.pdf%0Ahttps://think-asia.org/handle/11540/8282%0Ahttps://www.jstor.org/stable/41857625</w:t>
      </w:r>
    </w:p>
    <w:p w:rsidR="00000000" w:rsidDel="00000000" w:rsidP="00000000" w:rsidRDefault="00000000" w:rsidRPr="00000000" w14:paraId="00000395">
      <w:pPr>
        <w:ind w:hanging="480"/>
        <w:rPr/>
      </w:pPr>
      <w:r w:rsidDel="00000000" w:rsidR="00000000" w:rsidRPr="00000000">
        <w:rPr>
          <w:rtl w:val="0"/>
        </w:rPr>
        <w:t xml:space="preserve">Mock, C. N., Donkor, P., Atul, G., Jamison, D. T., Kruk, M. E., &amp; Debas, H. T. (2015). Essential surgery</w:t>
      </w:r>
      <w:r w:rsidDel="00000000" w:rsidR="00000000" w:rsidRPr="00000000">
        <w:rPr>
          <w:rFonts w:ascii="Arial" w:cs="Arial" w:eastAsia="Arial" w:hAnsi="Arial"/>
          <w:rtl w:val="0"/>
        </w:rPr>
        <w:t xml:space="preserve"> </w:t>
      </w:r>
      <w:r w:rsidDel="00000000" w:rsidR="00000000" w:rsidRPr="00000000">
        <w:rPr>
          <w:rtl w:val="0"/>
        </w:rPr>
        <w:t xml:space="preserve">: key messages from Disease Control Priorities , 3rd edition. </w:t>
      </w:r>
      <w:r w:rsidDel="00000000" w:rsidR="00000000" w:rsidRPr="00000000">
        <w:rPr>
          <w:i w:val="1"/>
          <w:rtl w:val="0"/>
        </w:rPr>
        <w:t xml:space="preserve">Lancet, 385</w:t>
      </w:r>
      <w:r w:rsidDel="00000000" w:rsidR="00000000" w:rsidRPr="00000000">
        <w:rPr>
          <w:rtl w:val="0"/>
        </w:rPr>
        <w:t xml:space="preserve">, 2209–2219.</w:t>
      </w:r>
    </w:p>
    <w:p w:rsidR="00000000" w:rsidDel="00000000" w:rsidP="00000000" w:rsidRDefault="00000000" w:rsidRPr="00000000" w14:paraId="00000396">
      <w:pPr>
        <w:ind w:hanging="480"/>
        <w:rPr/>
      </w:pPr>
      <w:r w:rsidDel="00000000" w:rsidR="00000000" w:rsidRPr="00000000">
        <w:rPr>
          <w:rtl w:val="0"/>
        </w:rPr>
        <w:t xml:space="preserve">Molyneux, D. H. (2008). Combating the “other diseases” of MDG 6: changing the paradigm to achieve equity and poverty reduction? </w:t>
      </w:r>
      <w:r w:rsidDel="00000000" w:rsidR="00000000" w:rsidRPr="00000000">
        <w:rPr>
          <w:i w:val="1"/>
          <w:rtl w:val="0"/>
        </w:rPr>
        <w:t xml:space="preserve">Transactions of the Royal Society of Tropical Medicine and Hygiene, 102</w:t>
      </w:r>
      <w:r w:rsidDel="00000000" w:rsidR="00000000" w:rsidRPr="00000000">
        <w:rPr>
          <w:rtl w:val="0"/>
        </w:rPr>
        <w:t xml:space="preserve">(6), 509–519. </w:t>
      </w:r>
      <w:hyperlink r:id="rId16">
        <w:r w:rsidDel="00000000" w:rsidR="00000000" w:rsidRPr="00000000">
          <w:rPr>
            <w:color w:val="0563c1"/>
            <w:u w:val="single"/>
            <w:rtl w:val="0"/>
          </w:rPr>
          <w:t xml:space="preserve">https://doi.org/10.1016/j.trstmh.2008.02.024</w:t>
        </w:r>
      </w:hyperlink>
      <w:r w:rsidDel="00000000" w:rsidR="00000000" w:rsidRPr="00000000">
        <w:rPr>
          <w:rtl w:val="0"/>
        </w:rPr>
      </w:r>
    </w:p>
    <w:p w:rsidR="00000000" w:rsidDel="00000000" w:rsidP="00000000" w:rsidRDefault="00000000" w:rsidRPr="00000000" w14:paraId="00000397">
      <w:pPr>
        <w:ind w:hanging="480"/>
        <w:rPr/>
      </w:pPr>
      <w:r w:rsidDel="00000000" w:rsidR="00000000" w:rsidRPr="00000000">
        <w:rPr>
          <w:rtl w:val="0"/>
        </w:rPr>
        <w:t xml:space="preserve">Mukhari-Baloyi, N.A., Bhayat, A., Madiba, T.K., Nkambule, N.R., 2021. A Review of the South African National Oral Health Policy</w:t>
      </w:r>
      <w:r w:rsidDel="00000000" w:rsidR="00000000" w:rsidRPr="00000000">
        <w:rPr>
          <w:i w:val="1"/>
          <w:rtl w:val="0"/>
        </w:rPr>
        <w:t xml:space="preserve">. South African Dental Journal 76</w:t>
      </w:r>
      <w:r w:rsidDel="00000000" w:rsidR="00000000" w:rsidRPr="00000000">
        <w:rPr>
          <w:rtl w:val="0"/>
        </w:rPr>
        <w:t xml:space="preserve">, 551–557. </w:t>
      </w:r>
      <w:hyperlink r:id="rId17">
        <w:r w:rsidDel="00000000" w:rsidR="00000000" w:rsidRPr="00000000">
          <w:rPr>
            <w:color w:val="0563c1"/>
            <w:u w:val="single"/>
            <w:rtl w:val="0"/>
          </w:rPr>
          <w:t xml:space="preserve">https://doi.org/10.17159/2519-0105/2021/v76no9a6</w:t>
        </w:r>
      </w:hyperlink>
      <w:r w:rsidDel="00000000" w:rsidR="00000000" w:rsidRPr="00000000">
        <w:rPr>
          <w:rtl w:val="0"/>
        </w:rPr>
      </w:r>
    </w:p>
    <w:p w:rsidR="00000000" w:rsidDel="00000000" w:rsidP="00000000" w:rsidRDefault="00000000" w:rsidRPr="00000000" w14:paraId="00000398">
      <w:pPr>
        <w:ind w:hanging="480"/>
        <w:rPr/>
      </w:pPr>
      <w:r w:rsidDel="00000000" w:rsidR="00000000" w:rsidRPr="00000000">
        <w:rPr>
          <w:rtl w:val="0"/>
        </w:rPr>
        <w:t xml:space="preserve">Ndiaye, C. (2005). Oral health in the African region: Progress and perspectives of the Regional Strategy. </w:t>
      </w:r>
      <w:r w:rsidDel="00000000" w:rsidR="00000000" w:rsidRPr="00000000">
        <w:rPr>
          <w:i w:val="1"/>
          <w:rtl w:val="0"/>
        </w:rPr>
        <w:t xml:space="preserve">African Journal of Oral Health, 2</w:t>
      </w:r>
      <w:r w:rsidDel="00000000" w:rsidR="00000000" w:rsidRPr="00000000">
        <w:rPr>
          <w:rtl w:val="0"/>
        </w:rPr>
        <w:t xml:space="preserve">(1–2), 2–9. </w:t>
      </w:r>
      <w:hyperlink r:id="rId18">
        <w:r w:rsidDel="00000000" w:rsidR="00000000" w:rsidRPr="00000000">
          <w:rPr>
            <w:color w:val="0563c1"/>
            <w:u w:val="single"/>
            <w:rtl w:val="0"/>
          </w:rPr>
          <w:t xml:space="preserve">https://doi.org/10.4314/ajoh.v2i1-2.5699</w:t>
        </w:r>
      </w:hyperlink>
      <w:r w:rsidDel="00000000" w:rsidR="00000000" w:rsidRPr="00000000">
        <w:rPr>
          <w:rtl w:val="0"/>
        </w:rPr>
      </w:r>
    </w:p>
    <w:p w:rsidR="00000000" w:rsidDel="00000000" w:rsidP="00000000" w:rsidRDefault="00000000" w:rsidRPr="00000000" w14:paraId="00000399">
      <w:pPr>
        <w:ind w:hanging="480"/>
        <w:rPr/>
      </w:pPr>
      <w:r w:rsidDel="00000000" w:rsidR="00000000" w:rsidRPr="00000000">
        <w:rPr>
          <w:rtl w:val="0"/>
        </w:rPr>
        <w:t xml:space="preserve">Niesten, D., Gerritsen, | A E, &amp; Leve, | V. (2021). Barriers and Facilitators to integrate Oral Health care for Older Adults in General (Basic) Care in East Netherlands. Part 2 Functional Integration. </w:t>
      </w:r>
      <w:r w:rsidDel="00000000" w:rsidR="00000000" w:rsidRPr="00000000">
        <w:rPr>
          <w:i w:val="1"/>
          <w:rtl w:val="0"/>
        </w:rPr>
        <w:t xml:space="preserve">Gerodontology, 38,</w:t>
      </w:r>
      <w:r w:rsidDel="00000000" w:rsidR="00000000" w:rsidRPr="00000000">
        <w:rPr>
          <w:rtl w:val="0"/>
        </w:rPr>
        <w:t xml:space="preserve"> 289–299. </w:t>
      </w:r>
      <w:hyperlink r:id="rId19">
        <w:r w:rsidDel="00000000" w:rsidR="00000000" w:rsidRPr="00000000">
          <w:rPr>
            <w:color w:val="0563c1"/>
            <w:u w:val="single"/>
            <w:rtl w:val="0"/>
          </w:rPr>
          <w:t xml:space="preserve">https://doi.org/10.1111/ger.12525</w:t>
        </w:r>
      </w:hyperlink>
      <w:r w:rsidDel="00000000" w:rsidR="00000000" w:rsidRPr="00000000">
        <w:rPr>
          <w:rtl w:val="0"/>
        </w:rPr>
      </w:r>
    </w:p>
    <w:p w:rsidR="00000000" w:rsidDel="00000000" w:rsidP="00000000" w:rsidRDefault="00000000" w:rsidRPr="00000000" w14:paraId="0000039A">
      <w:pPr>
        <w:ind w:hanging="480"/>
        <w:rPr/>
      </w:pPr>
      <w:r w:rsidDel="00000000" w:rsidR="00000000" w:rsidRPr="00000000">
        <w:rPr>
          <w:rtl w:val="0"/>
        </w:rPr>
        <w:t xml:space="preserve">OECD Policy Responses to Coronavirus (COVID-19): COVID-19 and Africa: Socio-economic implications and policy response</w:t>
      </w:r>
    </w:p>
    <w:p w:rsidR="00000000" w:rsidDel="00000000" w:rsidP="00000000" w:rsidRDefault="00000000" w:rsidRPr="00000000" w14:paraId="0000039B">
      <w:pPr>
        <w:ind w:hanging="480"/>
        <w:rPr/>
      </w:pPr>
      <w:r w:rsidDel="00000000" w:rsidR="00000000" w:rsidRPr="00000000">
        <w:rPr>
          <w:rtl w:val="0"/>
        </w:rPr>
        <w:t xml:space="preserve">Peres, M. A., Macpherson, L. M. D., Weyant, R. J., Daly, B., Venturelli, R., Mathur, M. R., Listl, S., Celeste, R. K., Guarnizo-Herreño, C. C., Kearns, C., Benzian, H., Allison, P., &amp; Watt, R. G. (2019). Oral diseases: a global public health challenge. </w:t>
      </w:r>
      <w:r w:rsidDel="00000000" w:rsidR="00000000" w:rsidRPr="00000000">
        <w:rPr>
          <w:i w:val="1"/>
          <w:rtl w:val="0"/>
        </w:rPr>
        <w:t xml:space="preserve">The Lancet, 394</w:t>
      </w:r>
      <w:r w:rsidDel="00000000" w:rsidR="00000000" w:rsidRPr="00000000">
        <w:rPr>
          <w:rtl w:val="0"/>
        </w:rPr>
        <w:t xml:space="preserve">(10194), 249–260. </w:t>
      </w:r>
      <w:hyperlink r:id="rId20">
        <w:r w:rsidDel="00000000" w:rsidR="00000000" w:rsidRPr="00000000">
          <w:rPr>
            <w:color w:val="0563c1"/>
            <w:u w:val="single"/>
            <w:rtl w:val="0"/>
          </w:rPr>
          <w:t xml:space="preserve">https://doi.org/10.1016/S0140-6736(19)31146-8</w:t>
        </w:r>
      </w:hyperlink>
      <w:r w:rsidDel="00000000" w:rsidR="00000000" w:rsidRPr="00000000">
        <w:rPr>
          <w:rtl w:val="0"/>
        </w:rPr>
      </w:r>
    </w:p>
    <w:p w:rsidR="00000000" w:rsidDel="00000000" w:rsidP="00000000" w:rsidRDefault="00000000" w:rsidRPr="00000000" w14:paraId="0000039C">
      <w:pPr>
        <w:ind w:hanging="480"/>
        <w:rPr/>
      </w:pPr>
      <w:r w:rsidDel="00000000" w:rsidR="00000000" w:rsidRPr="00000000">
        <w:rPr>
          <w:rtl w:val="0"/>
        </w:rPr>
        <w:t xml:space="preserve">Piot, P., Russel, S., &amp; Larson Heidi. (2007). GOOD POLITICS BAD POLITICS THE EXPEREINCE OF AIDS.pdf. </w:t>
      </w:r>
      <w:r w:rsidDel="00000000" w:rsidR="00000000" w:rsidRPr="00000000">
        <w:rPr>
          <w:i w:val="1"/>
          <w:rtl w:val="0"/>
        </w:rPr>
        <w:t xml:space="preserve">AMERICAN JOURNAL OF PUBLIC HEALTH, 97</w:t>
      </w:r>
      <w:r w:rsidDel="00000000" w:rsidR="00000000" w:rsidRPr="00000000">
        <w:rPr>
          <w:rtl w:val="0"/>
        </w:rPr>
        <w:t xml:space="preserve">(11), 1934–1936.</w:t>
      </w:r>
    </w:p>
    <w:p w:rsidR="00000000" w:rsidDel="00000000" w:rsidP="00000000" w:rsidRDefault="00000000" w:rsidRPr="00000000" w14:paraId="0000039D">
      <w:pPr>
        <w:ind w:hanging="480"/>
        <w:rPr/>
      </w:pPr>
      <w:r w:rsidDel="00000000" w:rsidR="00000000" w:rsidRPr="00000000">
        <w:rPr>
          <w:rtl w:val="0"/>
        </w:rPr>
        <w:t xml:space="preserve">Prasad, M., Manjunath, C., Murthy, A., Sampath, A., Jaiswal, S., &amp; Mohapatra, A. (2019). Integration of oral health into primary health care: </w:t>
      </w:r>
      <w:r w:rsidDel="00000000" w:rsidR="00000000" w:rsidRPr="00000000">
        <w:rPr>
          <w:i w:val="1"/>
          <w:rtl w:val="0"/>
        </w:rPr>
        <w:t xml:space="preserve">A systematic review. In Journal of Family Medicine and Primary Care8(</w:t>
      </w:r>
      <w:r w:rsidDel="00000000" w:rsidR="00000000" w:rsidRPr="00000000">
        <w:rPr>
          <w:rtl w:val="0"/>
        </w:rPr>
        <w:t xml:space="preserve">6),838–1845. </w:t>
      </w:r>
      <w:hyperlink r:id="rId21">
        <w:r w:rsidDel="00000000" w:rsidR="00000000" w:rsidRPr="00000000">
          <w:rPr>
            <w:color w:val="0563c1"/>
            <w:u w:val="single"/>
            <w:rtl w:val="0"/>
          </w:rPr>
          <w:t xml:space="preserve">https://doi.org/10.4103/jfmpc.jfmpc_286_19</w:t>
        </w:r>
      </w:hyperlink>
      <w:r w:rsidDel="00000000" w:rsidR="00000000" w:rsidRPr="00000000">
        <w:rPr>
          <w:rtl w:val="0"/>
        </w:rPr>
      </w:r>
    </w:p>
    <w:p w:rsidR="00000000" w:rsidDel="00000000" w:rsidP="00000000" w:rsidRDefault="00000000" w:rsidRPr="00000000" w14:paraId="0000039E">
      <w:pPr>
        <w:ind w:hanging="480"/>
        <w:rPr/>
      </w:pPr>
      <w:r w:rsidDel="00000000" w:rsidR="00000000" w:rsidRPr="00000000">
        <w:rPr>
          <w:rtl w:val="0"/>
        </w:rPr>
        <w:t xml:space="preserve">Prendergast, A. J., Essajee, S., &amp; Penazzato, M. (2015). HIV and the Millenium Development Goals. </w:t>
      </w:r>
      <w:r w:rsidDel="00000000" w:rsidR="00000000" w:rsidRPr="00000000">
        <w:rPr>
          <w:i w:val="1"/>
          <w:rtl w:val="0"/>
        </w:rPr>
        <w:t xml:space="preserve">Arch Dis Child, 100</w:t>
      </w:r>
      <w:r w:rsidDel="00000000" w:rsidR="00000000" w:rsidRPr="00000000">
        <w:rPr>
          <w:rtl w:val="0"/>
        </w:rPr>
        <w:t xml:space="preserve">(Suppl 1), 48–52.</w:t>
      </w:r>
    </w:p>
    <w:p w:rsidR="00000000" w:rsidDel="00000000" w:rsidP="00000000" w:rsidRDefault="00000000" w:rsidRPr="00000000" w14:paraId="0000039F">
      <w:pPr>
        <w:ind w:hanging="480"/>
        <w:rPr/>
      </w:pPr>
      <w:r w:rsidDel="00000000" w:rsidR="00000000" w:rsidRPr="00000000">
        <w:rPr>
          <w:rtl w:val="0"/>
        </w:rPr>
        <w:t xml:space="preserve">Prevention methods and programmes for oral diseases. (1984). In World Health Organization - Technical Report Series: Vol. NO. 713.</w:t>
      </w:r>
    </w:p>
    <w:p w:rsidR="00000000" w:rsidDel="00000000" w:rsidP="00000000" w:rsidRDefault="00000000" w:rsidRPr="00000000" w14:paraId="000003A0">
      <w:pPr>
        <w:ind w:hanging="480"/>
        <w:rPr/>
      </w:pPr>
      <w:r w:rsidDel="00000000" w:rsidR="00000000" w:rsidRPr="00000000">
        <w:rPr>
          <w:rtl w:val="0"/>
        </w:rPr>
        <w:t xml:space="preserve">Pucca Junior, G. A., de Lucena, E. H. G., &amp; Cawahisa, P. T. (2010). Financing national policy on oral health in Brazil in the context of the unified health system. </w:t>
      </w:r>
      <w:r w:rsidDel="00000000" w:rsidR="00000000" w:rsidRPr="00000000">
        <w:rPr>
          <w:i w:val="1"/>
          <w:rtl w:val="0"/>
        </w:rPr>
        <w:t xml:space="preserve">Brazilian Oral Research, 24</w:t>
      </w:r>
      <w:r w:rsidDel="00000000" w:rsidR="00000000" w:rsidRPr="00000000">
        <w:rPr>
          <w:rtl w:val="0"/>
        </w:rPr>
        <w:t xml:space="preserve">(Special Issue 1), 26–32. https://doi.org/10.1590/S1806-83242010000500005</w:t>
      </w:r>
    </w:p>
    <w:p w:rsidR="00000000" w:rsidDel="00000000" w:rsidP="00000000" w:rsidRDefault="00000000" w:rsidRPr="00000000" w14:paraId="000003A1">
      <w:pPr>
        <w:ind w:hanging="480"/>
        <w:rPr/>
      </w:pPr>
      <w:r w:rsidDel="00000000" w:rsidR="00000000" w:rsidRPr="00000000">
        <w:rPr>
          <w:rtl w:val="0"/>
        </w:rPr>
        <w:t xml:space="preserve">World Health Organization (WHO). (1984). Prevention methods and programmes for oral diseases. In </w:t>
      </w:r>
      <w:r w:rsidDel="00000000" w:rsidR="00000000" w:rsidRPr="00000000">
        <w:rPr>
          <w:i w:val="1"/>
          <w:rtl w:val="0"/>
        </w:rPr>
        <w:t xml:space="preserve">World Health Organization - Technical Report Series: Vol. NO. 713</w:t>
      </w:r>
      <w:r w:rsidDel="00000000" w:rsidR="00000000" w:rsidRPr="00000000">
        <w:rPr>
          <w:rtl w:val="0"/>
        </w:rPr>
        <w:t xml:space="preserve">.</w:t>
      </w:r>
    </w:p>
    <w:p w:rsidR="00000000" w:rsidDel="00000000" w:rsidP="00000000" w:rsidRDefault="00000000" w:rsidRPr="00000000" w14:paraId="000003A2">
      <w:pPr>
        <w:ind w:hanging="480"/>
        <w:rPr/>
      </w:pPr>
      <w:r w:rsidDel="00000000" w:rsidR="00000000" w:rsidRPr="00000000">
        <w:rPr>
          <w:rtl w:val="0"/>
        </w:rPr>
        <w:t xml:space="preserve">Shawar, Y. R., Shiffman, J., &amp; Spiegel, D. A. (2015). Generation of political priority for global surgery: a qualitative policy analysis. </w:t>
      </w:r>
      <w:r w:rsidDel="00000000" w:rsidR="00000000" w:rsidRPr="00000000">
        <w:rPr>
          <w:i w:val="1"/>
          <w:rtl w:val="0"/>
        </w:rPr>
        <w:t xml:space="preserve">The Lancet Global Health</w:t>
      </w:r>
      <w:r w:rsidDel="00000000" w:rsidR="00000000" w:rsidRPr="00000000">
        <w:rPr>
          <w:rtl w:val="0"/>
        </w:rPr>
        <w:t xml:space="preserve">, </w:t>
      </w:r>
      <w:r w:rsidDel="00000000" w:rsidR="00000000" w:rsidRPr="00000000">
        <w:rPr>
          <w:i w:val="1"/>
          <w:rtl w:val="0"/>
        </w:rPr>
        <w:t xml:space="preserve">3</w:t>
      </w:r>
      <w:r w:rsidDel="00000000" w:rsidR="00000000" w:rsidRPr="00000000">
        <w:rPr>
          <w:rtl w:val="0"/>
        </w:rPr>
        <w:t xml:space="preserve">(8), e487–e495. https://doi.org/10.1016/S2214-109X(15)00098-4</w:t>
      </w:r>
    </w:p>
    <w:p w:rsidR="00000000" w:rsidDel="00000000" w:rsidP="00000000" w:rsidRDefault="00000000" w:rsidRPr="00000000" w14:paraId="000003A3">
      <w:pPr>
        <w:ind w:hanging="480"/>
        <w:rPr/>
      </w:pPr>
      <w:r w:rsidDel="00000000" w:rsidR="00000000" w:rsidRPr="00000000">
        <w:rPr>
          <w:rtl w:val="0"/>
        </w:rPr>
        <w:t xml:space="preserve">Shiffman, J. (2007). Generating Political Priority for Maternal Mortality Reduction in 5 developing Countries. </w:t>
      </w:r>
      <w:r w:rsidDel="00000000" w:rsidR="00000000" w:rsidRPr="00000000">
        <w:rPr>
          <w:i w:val="1"/>
          <w:rtl w:val="0"/>
        </w:rPr>
        <w:t xml:space="preserve">American Journal of Public Health</w:t>
      </w:r>
      <w:r w:rsidDel="00000000" w:rsidR="00000000" w:rsidRPr="00000000">
        <w:rPr>
          <w:rtl w:val="0"/>
        </w:rPr>
        <w:t xml:space="preserve">, </w:t>
      </w:r>
      <w:r w:rsidDel="00000000" w:rsidR="00000000" w:rsidRPr="00000000">
        <w:rPr>
          <w:i w:val="1"/>
          <w:rtl w:val="0"/>
        </w:rPr>
        <w:t xml:space="preserve">97</w:t>
      </w:r>
      <w:r w:rsidDel="00000000" w:rsidR="00000000" w:rsidRPr="00000000">
        <w:rPr>
          <w:rtl w:val="0"/>
        </w:rPr>
        <w:t xml:space="preserve">(5), 796–803.</w:t>
      </w:r>
    </w:p>
    <w:p w:rsidR="00000000" w:rsidDel="00000000" w:rsidP="00000000" w:rsidRDefault="00000000" w:rsidRPr="00000000" w14:paraId="000003A4">
      <w:pPr>
        <w:ind w:hanging="480"/>
        <w:rPr/>
      </w:pPr>
      <w:r w:rsidDel="00000000" w:rsidR="00000000" w:rsidRPr="00000000">
        <w:rPr>
          <w:rtl w:val="0"/>
        </w:rPr>
        <w:t xml:space="preserve">Smith, S. L., Shiffman, J., Shawar, Y. R., &amp; Shroff, Z. C. (2021). The rise and fall of global health issues: an arenas model applied to the COVID-19 pandemic shock. </w:t>
      </w:r>
      <w:r w:rsidDel="00000000" w:rsidR="00000000" w:rsidRPr="00000000">
        <w:rPr>
          <w:i w:val="1"/>
          <w:rtl w:val="0"/>
        </w:rPr>
        <w:t xml:space="preserve">Globalization and Health</w:t>
      </w:r>
      <w:r w:rsidDel="00000000" w:rsidR="00000000" w:rsidRPr="00000000">
        <w:rPr>
          <w:rtl w:val="0"/>
        </w:rPr>
        <w:t xml:space="preserve">, </w:t>
      </w:r>
      <w:r w:rsidDel="00000000" w:rsidR="00000000" w:rsidRPr="00000000">
        <w:rPr>
          <w:i w:val="1"/>
          <w:rtl w:val="0"/>
        </w:rPr>
        <w:t xml:space="preserve">17</w:t>
      </w:r>
      <w:r w:rsidDel="00000000" w:rsidR="00000000" w:rsidRPr="00000000">
        <w:rPr>
          <w:rtl w:val="0"/>
        </w:rPr>
        <w:t xml:space="preserve">(1), 1–15. </w:t>
      </w:r>
      <w:hyperlink r:id="rId22">
        <w:r w:rsidDel="00000000" w:rsidR="00000000" w:rsidRPr="00000000">
          <w:rPr>
            <w:color w:val="0563c1"/>
            <w:u w:val="single"/>
            <w:rtl w:val="0"/>
          </w:rPr>
          <w:t xml:space="preserve">https://doi.org/10.1186/s12992-021-00691-7</w:t>
        </w:r>
      </w:hyperlink>
      <w:r w:rsidDel="00000000" w:rsidR="00000000" w:rsidRPr="00000000">
        <w:rPr>
          <w:rtl w:val="0"/>
        </w:rPr>
      </w:r>
    </w:p>
    <w:p w:rsidR="00000000" w:rsidDel="00000000" w:rsidP="00000000" w:rsidRDefault="00000000" w:rsidRPr="00000000" w14:paraId="000003A5">
      <w:pPr>
        <w:ind w:hanging="480"/>
        <w:rPr/>
      </w:pPr>
      <w:r w:rsidDel="00000000" w:rsidR="00000000" w:rsidRPr="00000000">
        <w:rPr>
          <w:rtl w:val="0"/>
        </w:rPr>
        <w:t xml:space="preserve">Tan, D. H. S., Upshur, R. E. G., &amp; Ford, N. (2003). Global plagues and the Global Fund: Challenges in the fight against HIV, TB and malaria. </w:t>
      </w:r>
      <w:r w:rsidDel="00000000" w:rsidR="00000000" w:rsidRPr="00000000">
        <w:rPr>
          <w:i w:val="1"/>
          <w:rtl w:val="0"/>
        </w:rPr>
        <w:t xml:space="preserve">BMC International Health and Human Rights, 3,</w:t>
      </w:r>
      <w:r w:rsidDel="00000000" w:rsidR="00000000" w:rsidRPr="00000000">
        <w:rPr>
          <w:rtl w:val="0"/>
        </w:rPr>
        <w:t xml:space="preserve"> 1–9. </w:t>
      </w:r>
      <w:hyperlink r:id="rId23">
        <w:r w:rsidDel="00000000" w:rsidR="00000000" w:rsidRPr="00000000">
          <w:rPr>
            <w:color w:val="0563c1"/>
            <w:u w:val="single"/>
            <w:rtl w:val="0"/>
          </w:rPr>
          <w:t xml:space="preserve">https://doi.org/10.1186/1472-698X-3-1</w:t>
        </w:r>
      </w:hyperlink>
      <w:r w:rsidDel="00000000" w:rsidR="00000000" w:rsidRPr="00000000">
        <w:rPr>
          <w:rtl w:val="0"/>
        </w:rPr>
      </w:r>
    </w:p>
    <w:p w:rsidR="00000000" w:rsidDel="00000000" w:rsidP="00000000" w:rsidRDefault="00000000" w:rsidRPr="00000000" w14:paraId="000003A6">
      <w:pPr>
        <w:ind w:hanging="480"/>
        <w:rPr/>
      </w:pPr>
      <w:r w:rsidDel="00000000" w:rsidR="00000000" w:rsidRPr="00000000">
        <w:rPr>
          <w:rtl w:val="0"/>
        </w:rPr>
        <w:t xml:space="preserve">Tiwarii, R., Bhayati, A., &amp; Chikte, U. (2021). Forecasting for the need of dentists and specialists in South Africa until 2030. </w:t>
      </w:r>
      <w:r w:rsidDel="00000000" w:rsidR="00000000" w:rsidRPr="00000000">
        <w:rPr>
          <w:i w:val="1"/>
          <w:rtl w:val="0"/>
        </w:rPr>
        <w:t xml:space="preserve">PLoS ONE</w:t>
      </w:r>
      <w:r w:rsidDel="00000000" w:rsidR="00000000" w:rsidRPr="00000000">
        <w:rPr>
          <w:rtl w:val="0"/>
        </w:rPr>
        <w:t xml:space="preserve"> 16(5) May 2021). https://doi.org/10.1371/journal.pone.0251238</w:t>
      </w:r>
    </w:p>
    <w:p w:rsidR="00000000" w:rsidDel="00000000" w:rsidP="00000000" w:rsidRDefault="00000000" w:rsidRPr="00000000" w14:paraId="000003A7">
      <w:pPr>
        <w:ind w:hanging="480"/>
        <w:rPr/>
      </w:pPr>
      <w:r w:rsidDel="00000000" w:rsidR="00000000" w:rsidRPr="00000000">
        <w:rPr>
          <w:rtl w:val="0"/>
        </w:rPr>
        <w:t xml:space="preserve">UNAIDS. (2002). Keeping the Promise: Summary of the Declaration of Commitment on HIV/AIDS.</w:t>
      </w:r>
    </w:p>
    <w:p w:rsidR="00000000" w:rsidDel="00000000" w:rsidP="00000000" w:rsidRDefault="00000000" w:rsidRPr="00000000" w14:paraId="000003A8">
      <w:pPr>
        <w:ind w:hanging="480"/>
        <w:rPr/>
      </w:pPr>
      <w:r w:rsidDel="00000000" w:rsidR="00000000" w:rsidRPr="00000000">
        <w:rPr>
          <w:rtl w:val="0"/>
        </w:rPr>
        <w:t xml:space="preserve">van Wyk, P.J., van Wyk, C., 2004. Oral health in South Africa. </w:t>
      </w:r>
      <w:r w:rsidDel="00000000" w:rsidR="00000000" w:rsidRPr="00000000">
        <w:rPr>
          <w:i w:val="1"/>
          <w:rtl w:val="0"/>
        </w:rPr>
        <w:t xml:space="preserve">International Dental Journal 54,</w:t>
      </w:r>
      <w:r w:rsidDel="00000000" w:rsidR="00000000" w:rsidRPr="00000000">
        <w:rPr>
          <w:rtl w:val="0"/>
        </w:rPr>
        <w:t xml:space="preserve"> 373–377. https://doi.org/10.1111/j.1875-595X.2004.tb00014.x</w:t>
      </w:r>
    </w:p>
    <w:p w:rsidR="00000000" w:rsidDel="00000000" w:rsidP="00000000" w:rsidRDefault="00000000" w:rsidRPr="00000000" w14:paraId="000003A9">
      <w:pPr>
        <w:ind w:left="480" w:hanging="480"/>
        <w:rPr/>
      </w:pPr>
      <w:r w:rsidDel="00000000" w:rsidR="00000000" w:rsidRPr="00000000">
        <w:rPr>
          <w:rtl w:val="0"/>
        </w:rPr>
        <w:t xml:space="preserve">Vega, J. (2013). Universal health coverage: The post-2015 development agenda. The Lancet, 381(9862), 179–180. https://doi.org/10.1016/S0140-6736(13)60062-8</w:t>
      </w:r>
    </w:p>
    <w:p w:rsidR="00000000" w:rsidDel="00000000" w:rsidP="00000000" w:rsidRDefault="00000000" w:rsidRPr="00000000" w14:paraId="000003AA">
      <w:pPr>
        <w:ind w:hanging="480"/>
        <w:rPr/>
      </w:pPr>
      <w:r w:rsidDel="00000000" w:rsidR="00000000" w:rsidRPr="00000000">
        <w:rPr>
          <w:rtl w:val="0"/>
        </w:rPr>
        <w:t xml:space="preserve">Wang, T. T., Mathur, M. R., &amp; Schmidt, H. (2020). Universal health coverage, oral health, equity and personal responsibility. Bulletin of the World Health Organisation, 98(10), 719–721.</w:t>
      </w:r>
    </w:p>
    <w:p w:rsidR="00000000" w:rsidDel="00000000" w:rsidP="00000000" w:rsidRDefault="00000000" w:rsidRPr="00000000" w14:paraId="000003AB">
      <w:pPr>
        <w:ind w:hanging="480"/>
        <w:rPr/>
      </w:pPr>
      <w:r w:rsidDel="00000000" w:rsidR="00000000" w:rsidRPr="00000000">
        <w:rPr>
          <w:rtl w:val="0"/>
        </w:rPr>
        <w:t xml:space="preserve">World Health Organisation Regional Office for Africa. (2016). </w:t>
      </w:r>
      <w:r w:rsidDel="00000000" w:rsidR="00000000" w:rsidRPr="00000000">
        <w:rPr>
          <w:i w:val="1"/>
          <w:rtl w:val="0"/>
        </w:rPr>
        <w:t xml:space="preserve">REGIONAL ORAL HEALTH STRATEGY 2016-2025:ADDRESSING ORAL DISEASES AS PART OF NONCOMMUNICABLE DISEASES</w:t>
      </w:r>
      <w:r w:rsidDel="00000000" w:rsidR="00000000" w:rsidRPr="00000000">
        <w:rPr>
          <w:rtl w:val="0"/>
        </w:rPr>
        <w:t xml:space="preserve"> (Issue August).</w:t>
      </w:r>
    </w:p>
    <w:p w:rsidR="00000000" w:rsidDel="00000000" w:rsidP="00000000" w:rsidRDefault="00000000" w:rsidRPr="00000000" w14:paraId="000003AC">
      <w:pPr>
        <w:rPr/>
      </w:pPr>
      <w:r w:rsidDel="00000000" w:rsidR="00000000" w:rsidRPr="00000000">
        <w:rPr>
          <w:rtl w:val="0"/>
        </w:rPr>
        <w:t xml:space="preserve"> </w:t>
      </w:r>
    </w:p>
    <w:p w:rsidR="00000000" w:rsidDel="00000000" w:rsidP="00000000" w:rsidRDefault="00000000" w:rsidRPr="00000000" w14:paraId="000003AD">
      <w:pPr>
        <w:rPr/>
      </w:pPr>
      <w:r w:rsidDel="00000000" w:rsidR="00000000" w:rsidRPr="00000000">
        <w:rPr>
          <w:rtl w:val="0"/>
        </w:rPr>
      </w:r>
    </w:p>
    <w:p w:rsidR="00000000" w:rsidDel="00000000" w:rsidP="00000000" w:rsidRDefault="00000000" w:rsidRPr="00000000" w14:paraId="000003AE">
      <w:pPr>
        <w:spacing w:line="360" w:lineRule="auto"/>
        <w:jc w:val="left"/>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entury Gothic"/>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entury Gothic" w:cs="Century Gothic" w:eastAsia="Century Gothic" w:hAnsi="Century Gothic"/>
        <w:sz w:val="22"/>
        <w:szCs w:val="22"/>
        <w:lang w:val="en-US"/>
      </w:rPr>
    </w:rPrDefault>
    <w:pPrDefault>
      <w:pPr>
        <w:spacing w:after="16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jc w:val="center"/>
    </w:pPr>
    <w:rPr>
      <w:b w:val="1"/>
      <w:color w:val="2f5496"/>
      <w:sz w:val="32"/>
      <w:szCs w:val="32"/>
    </w:rPr>
  </w:style>
  <w:style w:type="paragraph" w:styleId="Heading2">
    <w:name w:val="heading 2"/>
    <w:basedOn w:val="Normal"/>
    <w:next w:val="Normal"/>
    <w:pPr>
      <w:keepNext w:val="1"/>
      <w:keepLines w:val="1"/>
      <w:spacing w:after="0" w:before="40" w:lineRule="auto"/>
    </w:pPr>
    <w:rPr>
      <w:b w:val="1"/>
      <w:color w:val="2f5496"/>
      <w:sz w:val="26"/>
      <w:szCs w:val="26"/>
    </w:rPr>
  </w:style>
  <w:style w:type="paragraph" w:styleId="Heading3">
    <w:name w:val="heading 3"/>
    <w:basedOn w:val="Normal"/>
    <w:next w:val="Normal"/>
    <w:pPr>
      <w:keepNext w:val="1"/>
      <w:keepLines w:val="1"/>
      <w:spacing w:after="0" w:before="40" w:lineRule="auto"/>
    </w:pPr>
    <w:rPr>
      <w:b w:val="1"/>
      <w:color w:val="00b0f0"/>
      <w:sz w:val="24"/>
      <w:szCs w:val="24"/>
    </w:rPr>
  </w:style>
  <w:style w:type="paragraph" w:styleId="Heading4">
    <w:name w:val="heading 4"/>
    <w:basedOn w:val="Normal"/>
    <w:next w:val="Normal"/>
    <w:pPr>
      <w:keepNext w:val="1"/>
      <w:keepLines w:val="1"/>
      <w:spacing w:after="40" w:before="240" w:line="360" w:lineRule="auto"/>
    </w:pPr>
    <w:rPr>
      <w:rFonts w:ascii="Times New Roman" w:cs="Times New Roman" w:eastAsia="Times New Roman" w:hAnsi="Times New Roman"/>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Rule="auto"/>
    </w:pPr>
    <w:tblPr>
      <w:tblStyleRowBandSize w:val="1"/>
      <w:tblStyleColBandSize w:val="1"/>
      <w:tblCellMar>
        <w:top w:w="100.0" w:type="dxa"/>
        <w:left w:w="115.0" w:type="dxa"/>
        <w:bottom w:w="100.0" w:type="dxa"/>
        <w:right w:w="115.0" w:type="dxa"/>
      </w:tblCellMar>
    </w:tblPr>
  </w:style>
  <w:style w:type="table" w:styleId="Table2">
    <w:basedOn w:val="TableNormal"/>
    <w:pPr>
      <w:spacing w:after="0" w:lineRule="auto"/>
    </w:pPr>
    <w:tblPr>
      <w:tblStyleRowBandSize w:val="1"/>
      <w:tblStyleColBandSize w:val="1"/>
      <w:tblCellMar>
        <w:top w:w="100.0" w:type="dxa"/>
        <w:left w:w="115.0" w:type="dxa"/>
        <w:bottom w:w="100.0" w:type="dxa"/>
        <w:right w:w="115.0" w:type="dxa"/>
      </w:tblCellMar>
    </w:tblPr>
  </w:style>
  <w:style w:type="table" w:styleId="Table3">
    <w:basedOn w:val="TableNormal"/>
    <w:pPr>
      <w:spacing w:after="0" w:lineRule="auto"/>
    </w:pPr>
    <w:tblPr>
      <w:tblStyleRowBandSize w:val="1"/>
      <w:tblStyleColBandSize w:val="1"/>
      <w:tblCellMar>
        <w:top w:w="100.0" w:type="dxa"/>
        <w:left w:w="115.0" w:type="dxa"/>
        <w:bottom w:w="10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doi.org/10.1016/S0140-6736(19)31146-8" TargetMode="External"/><Relationship Id="rId11" Type="http://schemas.openxmlformats.org/officeDocument/2006/relationships/hyperlink" Target="https://doi.org/10.1136/bmjopen-2016-013807" TargetMode="External"/><Relationship Id="rId22" Type="http://schemas.openxmlformats.org/officeDocument/2006/relationships/hyperlink" Target="https://doi.org/10.1186/s12992-021-00691-7" TargetMode="External"/><Relationship Id="rId10" Type="http://schemas.openxmlformats.org/officeDocument/2006/relationships/hyperlink" Target="https://www.westerncape.gov.za/text/2003/national_policy_oral_health_sa.pdf" TargetMode="External"/><Relationship Id="rId21" Type="http://schemas.openxmlformats.org/officeDocument/2006/relationships/hyperlink" Target="https://doi.org/10.4103/jfmpc.jfmpc_286_19" TargetMode="External"/><Relationship Id="rId13" Type="http://schemas.openxmlformats.org/officeDocument/2006/relationships/hyperlink" Target="https://doi.org/10.1111/jphd.12254" TargetMode="External"/><Relationship Id="rId12" Type="http://schemas.openxmlformats.org/officeDocument/2006/relationships/hyperlink" Target="https://doi.org/10.1093/heapol/czz043" TargetMode="External"/><Relationship Id="rId23" Type="http://schemas.openxmlformats.org/officeDocument/2006/relationships/hyperlink" Target="https://doi.org/10.1186/1472-698X-3-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308/rcsfdj.2019.58" TargetMode="External"/><Relationship Id="rId15" Type="http://schemas.openxmlformats.org/officeDocument/2006/relationships/hyperlink" Target="https://doi.org/10.1371/journal.pone.0123075" TargetMode="External"/><Relationship Id="rId14" Type="http://schemas.openxmlformats.org/officeDocument/2006/relationships/hyperlink" Target="https://doi.org/10.1016/S0140-6736(12)61728-0" TargetMode="External"/><Relationship Id="rId17" Type="http://schemas.openxmlformats.org/officeDocument/2006/relationships/hyperlink" Target="https://doi.org/10.17159/2519-0105/2021/v76no9a6" TargetMode="External"/><Relationship Id="rId16" Type="http://schemas.openxmlformats.org/officeDocument/2006/relationships/hyperlink" Target="https://doi.org/10.1016/j.trstmh.2008.02.024" TargetMode="External"/><Relationship Id="rId5" Type="http://schemas.openxmlformats.org/officeDocument/2006/relationships/styles" Target="styles.xml"/><Relationship Id="rId19" Type="http://schemas.openxmlformats.org/officeDocument/2006/relationships/hyperlink" Target="https://doi.org/10.1111/ger.12525" TargetMode="External"/><Relationship Id="rId6" Type="http://schemas.openxmlformats.org/officeDocument/2006/relationships/hyperlink" Target="https://doi.org/10.1177/0022034515582062" TargetMode="External"/><Relationship Id="rId18" Type="http://schemas.openxmlformats.org/officeDocument/2006/relationships/hyperlink" Target="https://doi.org/10.4314/ajoh.v2i1-2.5699" TargetMode="External"/><Relationship Id="rId7" Type="http://schemas.openxmlformats.org/officeDocument/2006/relationships/hyperlink" Target="https://doi.org/10.1111/j.1875-595X.2011.00028.x" TargetMode="External"/><Relationship Id="rId8" Type="http://schemas.openxmlformats.org/officeDocument/2006/relationships/hyperlink" Target="https://doi.org/10.1177/00220345209085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