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4E16" w:rsidRPr="00C04E16" w:rsidRDefault="00C04E16" w:rsidP="00C04E16">
      <w:pPr>
        <w:spacing w:after="361" w:line="276" w:lineRule="auto"/>
        <w:ind w:left="0" w:firstLine="0"/>
        <w:rPr>
          <w:sz w:val="22"/>
        </w:rPr>
      </w:pPr>
      <w:r w:rsidRPr="00C04E16">
        <w:rPr>
          <w:b/>
          <w:sz w:val="22"/>
          <w:u w:val="single"/>
        </w:rPr>
        <w:t xml:space="preserve">Research/PhD Concept Note </w:t>
      </w:r>
      <w:r w:rsidRPr="00C04E16">
        <w:rPr>
          <w:sz w:val="22"/>
        </w:rPr>
        <w:t>(3-5 pages))</w:t>
      </w:r>
    </w:p>
    <w:p w:rsidR="00C04E16" w:rsidRPr="00C04E16" w:rsidRDefault="00C04E16" w:rsidP="00C04E16">
      <w:pPr>
        <w:spacing w:line="276" w:lineRule="auto"/>
        <w:rPr>
          <w:sz w:val="22"/>
        </w:rPr>
      </w:pPr>
      <w:r w:rsidRPr="00C04E16">
        <w:rPr>
          <w:sz w:val="22"/>
        </w:rPr>
        <w:t xml:space="preserve">Name of Researcher: </w:t>
      </w:r>
      <w:proofErr w:type="spellStart"/>
      <w:r w:rsidRPr="00C04E16">
        <w:rPr>
          <w:sz w:val="22"/>
        </w:rPr>
        <w:t>Njilla</w:t>
      </w:r>
      <w:proofErr w:type="spellEnd"/>
      <w:r w:rsidRPr="00C04E16">
        <w:rPr>
          <w:sz w:val="22"/>
        </w:rPr>
        <w:t xml:space="preserve"> </w:t>
      </w:r>
      <w:proofErr w:type="spellStart"/>
      <w:r w:rsidRPr="00C04E16">
        <w:rPr>
          <w:sz w:val="22"/>
        </w:rPr>
        <w:t>Steev-Becca</w:t>
      </w:r>
      <w:proofErr w:type="spellEnd"/>
      <w:r w:rsidRPr="00C04E16">
        <w:rPr>
          <w:sz w:val="22"/>
        </w:rPr>
        <w:t xml:space="preserve"> </w:t>
      </w:r>
      <w:proofErr w:type="spellStart"/>
      <w:r w:rsidRPr="00C04E16">
        <w:rPr>
          <w:sz w:val="22"/>
        </w:rPr>
        <w:t>Njissic</w:t>
      </w:r>
      <w:proofErr w:type="spellEnd"/>
    </w:p>
    <w:p w:rsidR="00C04E16" w:rsidRPr="00C04E16" w:rsidRDefault="00C04E16" w:rsidP="00C04E16">
      <w:pPr>
        <w:spacing w:line="276" w:lineRule="auto"/>
        <w:ind w:left="0" w:firstLine="0"/>
        <w:rPr>
          <w:sz w:val="22"/>
        </w:rPr>
      </w:pPr>
      <w:r w:rsidRPr="00C04E16">
        <w:rPr>
          <w:sz w:val="22"/>
        </w:rPr>
        <w:t xml:space="preserve">Possible mentor/supervisor/s: </w:t>
      </w:r>
      <w:proofErr w:type="spellStart"/>
      <w:r w:rsidRPr="00C04E16">
        <w:rPr>
          <w:sz w:val="22"/>
        </w:rPr>
        <w:t>Unice</w:t>
      </w:r>
      <w:proofErr w:type="spellEnd"/>
      <w:r w:rsidRPr="00C04E16">
        <w:rPr>
          <w:sz w:val="22"/>
        </w:rPr>
        <w:t xml:space="preserve"> </w:t>
      </w:r>
      <w:proofErr w:type="spellStart"/>
      <w:r w:rsidRPr="00C04E16">
        <w:rPr>
          <w:sz w:val="22"/>
        </w:rPr>
        <w:t>Goshemi</w:t>
      </w:r>
      <w:proofErr w:type="spellEnd"/>
    </w:p>
    <w:p w:rsidR="00C04E16" w:rsidRPr="00C04E16" w:rsidRDefault="00C04E16" w:rsidP="00C04E16">
      <w:pPr>
        <w:spacing w:after="361" w:line="276" w:lineRule="auto"/>
        <w:ind w:left="0" w:firstLine="0"/>
        <w:rPr>
          <w:sz w:val="22"/>
        </w:rPr>
      </w:pPr>
      <w:r w:rsidRPr="00C04E16">
        <w:rPr>
          <w:b/>
          <w:sz w:val="22"/>
        </w:rPr>
        <w:t>Title:</w:t>
      </w:r>
      <w:r w:rsidRPr="00C04E16">
        <w:rPr>
          <w:sz w:val="22"/>
        </w:rPr>
        <w:t xml:space="preserve"> Development of A tool for assessing Patient safety culture in maternal health care for women living with disability in primary and secondary health facilities in the South West Region of Cameroon</w:t>
      </w:r>
    </w:p>
    <w:p w:rsidR="00C04E16" w:rsidRPr="00C04E16" w:rsidRDefault="00C04E16" w:rsidP="00C04E16">
      <w:pPr>
        <w:spacing w:after="361" w:line="276" w:lineRule="auto"/>
        <w:ind w:left="0" w:firstLine="0"/>
        <w:rPr>
          <w:b/>
          <w:sz w:val="22"/>
        </w:rPr>
      </w:pPr>
      <w:r w:rsidRPr="00C04E16">
        <w:rPr>
          <w:b/>
          <w:sz w:val="22"/>
        </w:rPr>
        <w:t>Background:</w:t>
      </w:r>
    </w:p>
    <w:p w:rsidR="00C04E16" w:rsidRPr="00C04E16" w:rsidRDefault="00C04E16" w:rsidP="00C04E16">
      <w:pPr>
        <w:spacing w:after="331" w:line="276" w:lineRule="auto"/>
        <w:rPr>
          <w:sz w:val="22"/>
        </w:rPr>
      </w:pPr>
      <w:r w:rsidRPr="00C04E16">
        <w:rPr>
          <w:sz w:val="22"/>
        </w:rPr>
        <w:t>Quality of care has always been explicitly highlighted as an indispensable complement to effective primary health care. However, the risk associated with health care has increased significantly in recent times. This increase has forced mobilization of key stakeholders to direct efforts towards improving patient safety culture. A significant progress in this direction was the development of a patient safety assessment tool by</w:t>
      </w:r>
      <w:r w:rsidRPr="00C04E16">
        <w:rPr>
          <w:color w:val="1B1B1B"/>
          <w:sz w:val="22"/>
        </w:rPr>
        <w:t xml:space="preserve"> </w:t>
      </w:r>
      <w:r w:rsidRPr="00C04E16">
        <w:rPr>
          <w:sz w:val="22"/>
        </w:rPr>
        <w:t xml:space="preserve">Agency for health care research and quality (AHRQ), which has become somewhat of a standardized tool for assessing patient safety culture. However, patient safety culture assessment tools have not been proven to be effective in assessment of clinical safety of key areas like maternal safety for vulnerable populations like, who at a higher risk of harmful consequences of errors made by health care providers. It will therefore go a long way in the enhancement of good patient safety climate for persons living with disability, if such a tool was developed.  </w:t>
      </w:r>
    </w:p>
    <w:p w:rsidR="00C04E16" w:rsidRPr="00C04E16" w:rsidRDefault="00C04E16" w:rsidP="00C04E16">
      <w:pPr>
        <w:spacing w:after="331" w:line="276" w:lineRule="auto"/>
        <w:rPr>
          <w:b/>
          <w:sz w:val="22"/>
        </w:rPr>
      </w:pPr>
      <w:r w:rsidRPr="00C04E16">
        <w:rPr>
          <w:b/>
          <w:sz w:val="22"/>
        </w:rPr>
        <w:t>Literature Review</w:t>
      </w:r>
    </w:p>
    <w:p w:rsidR="00C04E16" w:rsidRPr="00C04E16" w:rsidRDefault="00C04E16" w:rsidP="00C04E16">
      <w:pPr>
        <w:spacing w:after="331" w:line="276" w:lineRule="auto"/>
        <w:rPr>
          <w:sz w:val="22"/>
        </w:rPr>
      </w:pPr>
      <w:r w:rsidRPr="00C04E16">
        <w:rPr>
          <w:sz w:val="22"/>
        </w:rPr>
        <w:t xml:space="preserve">Patient safety is an </w:t>
      </w:r>
      <w:proofErr w:type="spellStart"/>
      <w:r w:rsidRPr="00C04E16">
        <w:rPr>
          <w:sz w:val="22"/>
        </w:rPr>
        <w:t>indiscriminatory</w:t>
      </w:r>
      <w:proofErr w:type="spellEnd"/>
      <w:r w:rsidRPr="00C04E16">
        <w:rPr>
          <w:sz w:val="22"/>
        </w:rPr>
        <w:t xml:space="preserve"> issue that affects countries at all levels. Patient safety is defined as “the prevention of harm to patients with emphasis on the system of care delivery that prevents errors, learns from the errors that do occur and is built on a culture of safety that involves health care professionals, organizations, and patients (1).  The risk associated with health care has increased significantly in recent times. It is estimated that for every 100 hospitalized patients, 7 in developed and 10 in developing countries will suffer harm; and 4 out of every 10 patients in ambulatory care will suffer harm (2). Nevertheless, the movement for patient safety has gain momentum to enhance safe primary healthcare services (3). This advocacy movement was ignited by the 1990 institute of Medicine report titled, ‘To Err is Human. Referred to as processes or structures that reduce the probability of adverse events resulting from exposure to the healthcare system across a range of diseases and procedures (4), patient safety is now a global public health priority. </w:t>
      </w:r>
    </w:p>
    <w:p w:rsidR="00C04E16" w:rsidRPr="00C04E16" w:rsidRDefault="00C04E16" w:rsidP="00C04E16">
      <w:pPr>
        <w:spacing w:after="331" w:line="276" w:lineRule="auto"/>
        <w:rPr>
          <w:sz w:val="22"/>
        </w:rPr>
      </w:pPr>
      <w:r w:rsidRPr="00C04E16">
        <w:rPr>
          <w:sz w:val="22"/>
        </w:rPr>
        <w:t xml:space="preserve">The patient safety tool developed by Agency for health care research and quality (AHRQ) (5) is widely used to conduct research on assessment of patient safety culture. The tool evaluates 12 component of patient safety. Despite the wide acceptability of this tool, it does not make provision for assessment of priority populations like disable persons. It is not farfetched to conclude that the health care risks for a patient with a physical, mental or sensorial disability is significantly greater to that of a normal person. This is due to the fact that the risks caused by the treatment itself are added to the risks caused by the patient’s disability </w:t>
      </w:r>
      <w:r w:rsidRPr="00C04E16">
        <w:rPr>
          <w:sz w:val="22"/>
        </w:rPr>
        <w:lastRenderedPageBreak/>
        <w:t xml:space="preserve">(6).  The AHRQ encourages research on priority populations but research results lag in their ability to identify evidence-based solutions to improving healthcare safety, quality, efficiency and effectiveness (5).  </w:t>
      </w:r>
    </w:p>
    <w:p w:rsidR="00C04E16" w:rsidRPr="00C04E16" w:rsidRDefault="00C04E16" w:rsidP="00C04E16">
      <w:pPr>
        <w:spacing w:after="331" w:line="276" w:lineRule="auto"/>
        <w:rPr>
          <w:sz w:val="22"/>
        </w:rPr>
      </w:pPr>
      <w:r w:rsidRPr="00C04E16">
        <w:rPr>
          <w:sz w:val="22"/>
        </w:rPr>
        <w:t>There are a lot of disabilities and each present with different problems to be controlled so as improve patient safety. Those physical disabilities associated with walking-related problems lead to an increased risk of falling, Sensory related disabilities like visual disabilities lead to a great risk of falling or hitting physical obstacles (7</w:t>
      </w:r>
      <w:proofErr w:type="gramStart"/>
      <w:r w:rsidRPr="00C04E16">
        <w:rPr>
          <w:sz w:val="22"/>
        </w:rPr>
        <w:t>,8</w:t>
      </w:r>
      <w:proofErr w:type="gramEnd"/>
      <w:r w:rsidRPr="00C04E16">
        <w:rPr>
          <w:sz w:val="22"/>
        </w:rPr>
        <w:t xml:space="preserve">)  A research by </w:t>
      </w:r>
      <w:proofErr w:type="spellStart"/>
      <w:r w:rsidRPr="00C04E16">
        <w:rPr>
          <w:sz w:val="22"/>
        </w:rPr>
        <w:t>Perea</w:t>
      </w:r>
      <w:proofErr w:type="spellEnd"/>
      <w:r w:rsidRPr="00C04E16">
        <w:rPr>
          <w:sz w:val="22"/>
        </w:rPr>
        <w:t xml:space="preserve">-Pérez et al. (2013) (6) highlighted three main areas that need to be considered in the Analysis of care-related risks associated with patients and the characteristics of their disability. They are; Risk associated with the patient themselves, risk associated with the health care professionals and risk associated with the health care environment. However, their work was presented as a “proposal for analysis”. No work was done to validate the effectiveness of their suggestions in assessing patient safety culture in disable persons.  </w:t>
      </w:r>
    </w:p>
    <w:p w:rsidR="00C04E16" w:rsidRPr="00C04E16" w:rsidRDefault="00C04E16" w:rsidP="00C04E16">
      <w:pPr>
        <w:spacing w:after="373" w:line="276" w:lineRule="auto"/>
        <w:rPr>
          <w:sz w:val="22"/>
        </w:rPr>
      </w:pPr>
      <w:r w:rsidRPr="00C04E16">
        <w:rPr>
          <w:sz w:val="22"/>
        </w:rPr>
        <w:t xml:space="preserve">As Patient safety becomes a more prominent notion in health care today, and while universal health coverage remains a top goal, there is a dire need to improve the level of quality of care to all persons, with special concern paid to priority groups. This calls for the development of a standardized tool to assess the level of care for persons living with disability.  </w:t>
      </w:r>
    </w:p>
    <w:p w:rsidR="00C04E16" w:rsidRPr="00C04E16" w:rsidRDefault="00C04E16" w:rsidP="00C04E16">
      <w:pPr>
        <w:pStyle w:val="Heading1"/>
        <w:spacing w:line="276" w:lineRule="auto"/>
        <w:ind w:left="0" w:firstLine="0"/>
        <w:rPr>
          <w:sz w:val="22"/>
        </w:rPr>
      </w:pPr>
      <w:r w:rsidRPr="00C04E16">
        <w:rPr>
          <w:sz w:val="22"/>
        </w:rPr>
        <w:t xml:space="preserve">Statement of problem </w:t>
      </w:r>
    </w:p>
    <w:p w:rsidR="00C04E16" w:rsidRPr="00C04E16" w:rsidRDefault="00C04E16" w:rsidP="00C04E16">
      <w:pPr>
        <w:spacing w:after="331" w:line="276" w:lineRule="auto"/>
        <w:rPr>
          <w:sz w:val="22"/>
        </w:rPr>
      </w:pPr>
      <w:r w:rsidRPr="00C04E16">
        <w:rPr>
          <w:sz w:val="22"/>
        </w:rPr>
        <w:t>The problem to be addressed in this study is the lack of a standardized and universal tool to assess mistakes made by health care professionals in relation to maternal health care for persons living with disability. The harm posed by medical errors, hospital environment, relationship between health care professionals and patients keeps increasing. It is estimated that for every 100 hospitalized patients, 7 in developed and 10 in developing countries will suffer harm; and 4 out of every 10 patients in ambulatory care will suffer harm. More so, the current tools for assessing patient safety do not reflect the point of view of the beneficiaries (patients), and this is a fundamental setback because patients offer a crucial point of view for a good safety climate.</w:t>
      </w:r>
      <w:r>
        <w:rPr>
          <w:sz w:val="22"/>
        </w:rPr>
        <w:t xml:space="preserve"> The SDG3 goal for general well-</w:t>
      </w:r>
      <w:bookmarkStart w:id="0" w:name="_GoBack"/>
      <w:bookmarkEnd w:id="0"/>
      <w:r w:rsidRPr="00C04E16">
        <w:rPr>
          <w:sz w:val="22"/>
        </w:rPr>
        <w:t xml:space="preserve">being and health care cannot be attained if every person and every context is not factored in. Rural communities are generally left out in the development of health care assessment tools.  </w:t>
      </w:r>
    </w:p>
    <w:p w:rsidR="00C04E16" w:rsidRPr="00C04E16" w:rsidRDefault="00C04E16" w:rsidP="00C04E16">
      <w:pPr>
        <w:spacing w:after="370" w:line="276" w:lineRule="auto"/>
        <w:rPr>
          <w:sz w:val="22"/>
        </w:rPr>
      </w:pPr>
      <w:r w:rsidRPr="00C04E16">
        <w:rPr>
          <w:sz w:val="22"/>
        </w:rPr>
        <w:t xml:space="preserve">If this problem is not addressed, the number of medical errors during the treatment of women living with disability will continue to increase and no one might even notice, especially in rural settings.  </w:t>
      </w:r>
    </w:p>
    <w:p w:rsidR="00C04E16" w:rsidRPr="00C04E16" w:rsidRDefault="00C04E16" w:rsidP="00C04E16">
      <w:pPr>
        <w:spacing w:after="370" w:line="276" w:lineRule="auto"/>
        <w:rPr>
          <w:sz w:val="22"/>
        </w:rPr>
      </w:pPr>
      <w:r w:rsidRPr="00C04E16">
        <w:rPr>
          <w:b/>
          <w:sz w:val="22"/>
        </w:rPr>
        <w:t>Aim:</w:t>
      </w:r>
      <w:r w:rsidRPr="00C04E16">
        <w:rPr>
          <w:sz w:val="22"/>
        </w:rPr>
        <w:t xml:space="preserve"> To improve patient safety culture assessment for maternal safety in relation to women living with disability</w:t>
      </w:r>
    </w:p>
    <w:p w:rsidR="00C04E16" w:rsidRPr="00C04E16" w:rsidRDefault="00C04E16" w:rsidP="00C04E16">
      <w:pPr>
        <w:pStyle w:val="Heading1"/>
        <w:spacing w:line="276" w:lineRule="auto"/>
        <w:rPr>
          <w:sz w:val="22"/>
        </w:rPr>
      </w:pPr>
      <w:r w:rsidRPr="00C04E16">
        <w:rPr>
          <w:sz w:val="22"/>
        </w:rPr>
        <w:t xml:space="preserve">Research questions </w:t>
      </w:r>
    </w:p>
    <w:p w:rsidR="00C04E16" w:rsidRPr="00C04E16" w:rsidRDefault="00C04E16" w:rsidP="00C04E16">
      <w:pPr>
        <w:numPr>
          <w:ilvl w:val="0"/>
          <w:numId w:val="1"/>
        </w:numPr>
        <w:spacing w:after="129" w:line="276" w:lineRule="auto"/>
        <w:ind w:hanging="360"/>
        <w:rPr>
          <w:sz w:val="22"/>
        </w:rPr>
      </w:pPr>
      <w:r w:rsidRPr="00C04E16">
        <w:rPr>
          <w:sz w:val="22"/>
        </w:rPr>
        <w:t>Are the patient safety issues in maternal health care for women with disability different from their non-disable peers?</w:t>
      </w:r>
    </w:p>
    <w:p w:rsidR="00C04E16" w:rsidRPr="00C04E16" w:rsidRDefault="00C04E16" w:rsidP="00C04E16">
      <w:pPr>
        <w:numPr>
          <w:ilvl w:val="0"/>
          <w:numId w:val="1"/>
        </w:numPr>
        <w:spacing w:after="138" w:line="276" w:lineRule="auto"/>
        <w:ind w:hanging="360"/>
        <w:rPr>
          <w:sz w:val="22"/>
        </w:rPr>
      </w:pPr>
      <w:r w:rsidRPr="00C04E16">
        <w:rPr>
          <w:sz w:val="22"/>
        </w:rPr>
        <w:t xml:space="preserve">What are the views of persons with disability on patient safety culture? </w:t>
      </w:r>
    </w:p>
    <w:p w:rsidR="00C04E16" w:rsidRPr="00C04E16" w:rsidRDefault="00C04E16" w:rsidP="00C04E16">
      <w:pPr>
        <w:numPr>
          <w:ilvl w:val="0"/>
          <w:numId w:val="1"/>
        </w:numPr>
        <w:spacing w:after="372" w:line="276" w:lineRule="auto"/>
        <w:ind w:hanging="360"/>
        <w:rPr>
          <w:sz w:val="22"/>
        </w:rPr>
      </w:pPr>
      <w:r w:rsidRPr="00C04E16">
        <w:rPr>
          <w:sz w:val="22"/>
        </w:rPr>
        <w:lastRenderedPageBreak/>
        <w:t xml:space="preserve">What are measures that can be taken to improve quality of maternal care for persons living with disability? </w:t>
      </w:r>
    </w:p>
    <w:p w:rsidR="00C04E16" w:rsidRPr="00C04E16" w:rsidRDefault="00C04E16" w:rsidP="00C04E16">
      <w:pPr>
        <w:pStyle w:val="Heading1"/>
        <w:spacing w:line="276" w:lineRule="auto"/>
        <w:rPr>
          <w:sz w:val="22"/>
        </w:rPr>
      </w:pPr>
      <w:r w:rsidRPr="00C04E16">
        <w:rPr>
          <w:sz w:val="22"/>
        </w:rPr>
        <w:t xml:space="preserve">Specific objectives </w:t>
      </w:r>
    </w:p>
    <w:p w:rsidR="00C04E16" w:rsidRPr="00C04E16" w:rsidRDefault="00C04E16" w:rsidP="00C04E16">
      <w:pPr>
        <w:numPr>
          <w:ilvl w:val="0"/>
          <w:numId w:val="2"/>
        </w:numPr>
        <w:spacing w:after="152" w:line="276" w:lineRule="auto"/>
        <w:ind w:hanging="360"/>
        <w:rPr>
          <w:sz w:val="22"/>
        </w:rPr>
      </w:pPr>
      <w:r w:rsidRPr="00C04E16">
        <w:rPr>
          <w:sz w:val="22"/>
        </w:rPr>
        <w:t xml:space="preserve">To identify weaknesses in patient safety culture for persons living with disable in rural and urban settings </w:t>
      </w:r>
    </w:p>
    <w:p w:rsidR="00C04E16" w:rsidRPr="00C04E16" w:rsidRDefault="00C04E16" w:rsidP="00C04E16">
      <w:pPr>
        <w:numPr>
          <w:ilvl w:val="0"/>
          <w:numId w:val="2"/>
        </w:numPr>
        <w:spacing w:after="150" w:line="276" w:lineRule="auto"/>
        <w:ind w:hanging="360"/>
        <w:rPr>
          <w:sz w:val="22"/>
        </w:rPr>
      </w:pPr>
      <w:r w:rsidRPr="00C04E16">
        <w:rPr>
          <w:sz w:val="22"/>
        </w:rPr>
        <w:t xml:space="preserve">To develop a tool for assessment of the current status of clinical safety for persons living with disability  </w:t>
      </w:r>
    </w:p>
    <w:p w:rsidR="00C04E16" w:rsidRPr="00C04E16" w:rsidRDefault="00C04E16" w:rsidP="00C04E16">
      <w:pPr>
        <w:numPr>
          <w:ilvl w:val="0"/>
          <w:numId w:val="2"/>
        </w:numPr>
        <w:spacing w:after="375" w:line="276" w:lineRule="auto"/>
        <w:ind w:hanging="360"/>
        <w:rPr>
          <w:sz w:val="22"/>
        </w:rPr>
      </w:pPr>
      <w:r w:rsidRPr="00C04E16">
        <w:rPr>
          <w:sz w:val="22"/>
        </w:rPr>
        <w:t xml:space="preserve">To Test the reliability and strength of developed tool </w:t>
      </w:r>
    </w:p>
    <w:p w:rsidR="00C04E16" w:rsidRPr="00C04E16" w:rsidRDefault="00C04E16" w:rsidP="00C04E16">
      <w:pPr>
        <w:pStyle w:val="Heading1"/>
        <w:spacing w:line="276" w:lineRule="auto"/>
        <w:rPr>
          <w:sz w:val="22"/>
        </w:rPr>
      </w:pPr>
      <w:r w:rsidRPr="00C04E16">
        <w:rPr>
          <w:sz w:val="22"/>
        </w:rPr>
        <w:t xml:space="preserve">Expected outcome </w:t>
      </w:r>
    </w:p>
    <w:p w:rsidR="00C04E16" w:rsidRPr="00C04E16" w:rsidRDefault="00C04E16" w:rsidP="00C04E16">
      <w:pPr>
        <w:numPr>
          <w:ilvl w:val="0"/>
          <w:numId w:val="3"/>
        </w:numPr>
        <w:spacing w:after="149" w:line="276" w:lineRule="auto"/>
        <w:ind w:hanging="360"/>
        <w:rPr>
          <w:sz w:val="22"/>
        </w:rPr>
      </w:pPr>
      <w:r w:rsidRPr="00C04E16">
        <w:rPr>
          <w:sz w:val="22"/>
        </w:rPr>
        <w:t xml:space="preserve">Strengths and gaps in patient safety practices in healthcare service delivery (focus on disable patients) in both rural and urban settings will be identified  </w:t>
      </w:r>
    </w:p>
    <w:p w:rsidR="00C04E16" w:rsidRPr="00C04E16" w:rsidRDefault="00C04E16" w:rsidP="00C04E16">
      <w:pPr>
        <w:numPr>
          <w:ilvl w:val="0"/>
          <w:numId w:val="3"/>
        </w:numPr>
        <w:spacing w:after="152" w:line="276" w:lineRule="auto"/>
        <w:ind w:hanging="360"/>
        <w:rPr>
          <w:sz w:val="22"/>
        </w:rPr>
      </w:pPr>
      <w:r w:rsidRPr="00C04E16">
        <w:rPr>
          <w:sz w:val="22"/>
        </w:rPr>
        <w:t xml:space="preserve">Patient safety issues from the view of the patients (persons living with disability) will be identified hence drive the development of good policies </w:t>
      </w:r>
    </w:p>
    <w:p w:rsidR="00C04E16" w:rsidRPr="00C04E16" w:rsidRDefault="00C04E16" w:rsidP="00C04E16">
      <w:pPr>
        <w:numPr>
          <w:ilvl w:val="0"/>
          <w:numId w:val="3"/>
        </w:numPr>
        <w:spacing w:after="393" w:line="276" w:lineRule="auto"/>
        <w:ind w:hanging="360"/>
        <w:rPr>
          <w:sz w:val="22"/>
        </w:rPr>
      </w:pPr>
      <w:r w:rsidRPr="00C04E16">
        <w:rPr>
          <w:sz w:val="22"/>
        </w:rPr>
        <w:t xml:space="preserve">An excellent tool will be developed to assess clinical safety of patients living with disability </w:t>
      </w:r>
    </w:p>
    <w:p w:rsidR="00C04E16" w:rsidRPr="00C04E16" w:rsidRDefault="00C04E16" w:rsidP="00C04E16">
      <w:pPr>
        <w:spacing w:after="393" w:line="276" w:lineRule="auto"/>
        <w:ind w:left="16" w:firstLine="0"/>
        <w:rPr>
          <w:sz w:val="22"/>
        </w:rPr>
      </w:pPr>
      <w:r w:rsidRPr="00C04E16">
        <w:rPr>
          <w:b/>
          <w:sz w:val="22"/>
        </w:rPr>
        <w:t xml:space="preserve">Methodology </w:t>
      </w:r>
    </w:p>
    <w:p w:rsidR="00C04E16" w:rsidRPr="00C04E16" w:rsidRDefault="00C04E16" w:rsidP="00C04E16">
      <w:pPr>
        <w:pStyle w:val="Heading1"/>
        <w:spacing w:after="135" w:line="276" w:lineRule="auto"/>
        <w:rPr>
          <w:sz w:val="22"/>
        </w:rPr>
      </w:pPr>
      <w:r w:rsidRPr="00C04E16">
        <w:rPr>
          <w:rFonts w:ascii="Segoe UI Symbol" w:eastAsia="Segoe UI Symbol" w:hAnsi="Segoe UI Symbol" w:cs="Segoe UI Symbol"/>
          <w:b w:val="0"/>
          <w:sz w:val="22"/>
        </w:rPr>
        <w:t>•</w:t>
      </w:r>
      <w:r w:rsidRPr="00C04E16">
        <w:rPr>
          <w:rFonts w:ascii="Arial" w:eastAsia="Arial" w:hAnsi="Arial" w:cs="Arial"/>
          <w:b w:val="0"/>
          <w:sz w:val="22"/>
        </w:rPr>
        <w:t xml:space="preserve"> </w:t>
      </w:r>
      <w:r w:rsidRPr="00C04E16">
        <w:rPr>
          <w:sz w:val="22"/>
        </w:rPr>
        <w:t xml:space="preserve">Identification of patient safety areas associated to persons living with disability  </w:t>
      </w:r>
    </w:p>
    <w:p w:rsidR="00C04E16" w:rsidRPr="00C04E16" w:rsidRDefault="00C04E16" w:rsidP="00C04E16">
      <w:pPr>
        <w:spacing w:after="130" w:line="276" w:lineRule="auto"/>
        <w:ind w:left="1111" w:hanging="360"/>
        <w:jc w:val="left"/>
        <w:rPr>
          <w:sz w:val="22"/>
        </w:rPr>
      </w:pPr>
      <w:r w:rsidRPr="00C04E16">
        <w:rPr>
          <w:rFonts w:ascii="Calibri" w:eastAsia="Calibri" w:hAnsi="Calibri" w:cs="Calibri"/>
          <w:noProof/>
          <w:sz w:val="22"/>
        </w:rPr>
        <w:drawing>
          <wp:inline distT="0" distB="0" distL="0" distR="0" wp14:anchorId="1F7F2695" wp14:editId="6BF7E93C">
            <wp:extent cx="126365" cy="126365"/>
            <wp:effectExtent l="0" t="0" r="0" b="0"/>
            <wp:docPr id="1032" name="Picture 1032"/>
            <wp:cNvGraphicFramePr/>
            <a:graphic xmlns:a="http://schemas.openxmlformats.org/drawingml/2006/main">
              <a:graphicData uri="http://schemas.openxmlformats.org/drawingml/2006/picture">
                <pic:pic xmlns:pic="http://schemas.openxmlformats.org/drawingml/2006/picture">
                  <pic:nvPicPr>
                    <pic:cNvPr id="1032" name="Picture 1032"/>
                    <pic:cNvPicPr/>
                  </pic:nvPicPr>
                  <pic:blipFill>
                    <a:blip r:embed="rId5"/>
                    <a:stretch>
                      <a:fillRect/>
                    </a:stretch>
                  </pic:blipFill>
                  <pic:spPr>
                    <a:xfrm>
                      <a:off x="0" y="0"/>
                      <a:ext cx="126365" cy="126365"/>
                    </a:xfrm>
                    <a:prstGeom prst="rect">
                      <a:avLst/>
                    </a:prstGeom>
                  </pic:spPr>
                </pic:pic>
              </a:graphicData>
            </a:graphic>
          </wp:inline>
        </w:drawing>
      </w:r>
      <w:r w:rsidRPr="00C04E16">
        <w:rPr>
          <w:rFonts w:ascii="Arial" w:eastAsia="Arial" w:hAnsi="Arial" w:cs="Arial"/>
          <w:sz w:val="22"/>
        </w:rPr>
        <w:t xml:space="preserve"> </w:t>
      </w:r>
      <w:r w:rsidRPr="00C04E16">
        <w:rPr>
          <w:sz w:val="22"/>
        </w:rPr>
        <w:t xml:space="preserve">A systematic analysis will be conducted to identify all areas of patient safety associated to persons living with disability. The search will focus on areas related to the risk associated with the patient themselves, risk associated with the health care professionals and risk associated with the health care environment </w:t>
      </w:r>
    </w:p>
    <w:p w:rsidR="00C04E16" w:rsidRPr="00C04E16" w:rsidRDefault="00C04E16" w:rsidP="00C04E16">
      <w:pPr>
        <w:spacing w:after="329" w:line="276" w:lineRule="auto"/>
        <w:ind w:left="1111" w:hanging="360"/>
        <w:rPr>
          <w:sz w:val="22"/>
        </w:rPr>
      </w:pPr>
      <w:r w:rsidRPr="00C04E16">
        <w:rPr>
          <w:rFonts w:ascii="Calibri" w:eastAsia="Calibri" w:hAnsi="Calibri" w:cs="Calibri"/>
          <w:noProof/>
          <w:sz w:val="22"/>
        </w:rPr>
        <w:drawing>
          <wp:inline distT="0" distB="0" distL="0" distR="0" wp14:anchorId="20BB8B19" wp14:editId="55D411ED">
            <wp:extent cx="126365" cy="126365"/>
            <wp:effectExtent l="0" t="0" r="0" b="0"/>
            <wp:docPr id="1051" name="Picture 1051"/>
            <wp:cNvGraphicFramePr/>
            <a:graphic xmlns:a="http://schemas.openxmlformats.org/drawingml/2006/main">
              <a:graphicData uri="http://schemas.openxmlformats.org/drawingml/2006/picture">
                <pic:pic xmlns:pic="http://schemas.openxmlformats.org/drawingml/2006/picture">
                  <pic:nvPicPr>
                    <pic:cNvPr id="1051" name="Picture 1051"/>
                    <pic:cNvPicPr/>
                  </pic:nvPicPr>
                  <pic:blipFill>
                    <a:blip r:embed="rId5"/>
                    <a:stretch>
                      <a:fillRect/>
                    </a:stretch>
                  </pic:blipFill>
                  <pic:spPr>
                    <a:xfrm>
                      <a:off x="0" y="0"/>
                      <a:ext cx="126365" cy="126365"/>
                    </a:xfrm>
                    <a:prstGeom prst="rect">
                      <a:avLst/>
                    </a:prstGeom>
                  </pic:spPr>
                </pic:pic>
              </a:graphicData>
            </a:graphic>
          </wp:inline>
        </w:drawing>
      </w:r>
      <w:r w:rsidRPr="00C04E16">
        <w:rPr>
          <w:rFonts w:ascii="Arial" w:eastAsia="Arial" w:hAnsi="Arial" w:cs="Arial"/>
          <w:sz w:val="22"/>
        </w:rPr>
        <w:t xml:space="preserve"> </w:t>
      </w:r>
      <w:r w:rsidRPr="00C04E16">
        <w:rPr>
          <w:sz w:val="22"/>
        </w:rPr>
        <w:t xml:space="preserve">A mixed-method approach will be adopted to gather more practical issues on patient safety culture for persons living with disability in urban and rural settings; Key performance interviews will be carried out with health care professionals and focus groups discussions with persons leaving with disability.  </w:t>
      </w:r>
    </w:p>
    <w:p w:rsidR="00C04E16" w:rsidRPr="00C04E16" w:rsidRDefault="00C04E16" w:rsidP="00C04E16">
      <w:pPr>
        <w:pStyle w:val="Heading1"/>
        <w:spacing w:line="276" w:lineRule="auto"/>
        <w:rPr>
          <w:sz w:val="22"/>
        </w:rPr>
      </w:pPr>
      <w:r w:rsidRPr="00C04E16">
        <w:rPr>
          <w:sz w:val="22"/>
        </w:rPr>
        <w:t xml:space="preserve">Development of tool </w:t>
      </w:r>
    </w:p>
    <w:p w:rsidR="00C04E16" w:rsidRPr="00C04E16" w:rsidRDefault="00C04E16" w:rsidP="00C04E16">
      <w:pPr>
        <w:numPr>
          <w:ilvl w:val="0"/>
          <w:numId w:val="4"/>
        </w:numPr>
        <w:spacing w:after="150" w:line="276" w:lineRule="auto"/>
        <w:ind w:hanging="360"/>
        <w:rPr>
          <w:sz w:val="22"/>
        </w:rPr>
      </w:pPr>
      <w:r w:rsidRPr="00C04E16">
        <w:rPr>
          <w:sz w:val="22"/>
        </w:rPr>
        <w:t xml:space="preserve">Based on the identification of areas of patient safety culture, a set of patient safety composites will be developed.  The tool developed by AHRQ will be used as a guide. </w:t>
      </w:r>
    </w:p>
    <w:p w:rsidR="00C04E16" w:rsidRPr="00C04E16" w:rsidRDefault="00C04E16" w:rsidP="00C04E16">
      <w:pPr>
        <w:numPr>
          <w:ilvl w:val="0"/>
          <w:numId w:val="4"/>
        </w:numPr>
        <w:spacing w:after="149" w:line="276" w:lineRule="auto"/>
        <w:ind w:hanging="360"/>
        <w:rPr>
          <w:sz w:val="22"/>
        </w:rPr>
      </w:pPr>
      <w:r w:rsidRPr="00C04E16">
        <w:rPr>
          <w:sz w:val="22"/>
        </w:rPr>
        <w:t xml:space="preserve">The draft tool developed will be reviewed by researchers from AHRQ and WHO consultants on patient safety culture </w:t>
      </w:r>
    </w:p>
    <w:p w:rsidR="00C04E16" w:rsidRPr="00C04E16" w:rsidRDefault="00C04E16" w:rsidP="00C04E16">
      <w:pPr>
        <w:numPr>
          <w:ilvl w:val="0"/>
          <w:numId w:val="4"/>
        </w:numPr>
        <w:spacing w:after="331" w:line="276" w:lineRule="auto"/>
        <w:ind w:hanging="360"/>
        <w:rPr>
          <w:sz w:val="22"/>
        </w:rPr>
      </w:pPr>
      <w:r w:rsidRPr="00C04E16">
        <w:rPr>
          <w:sz w:val="22"/>
        </w:rPr>
        <w:lastRenderedPageBreak/>
        <w:t xml:space="preserve">Structured questionnaires will be self-administered to health care professionals in hospitals in rural and urban settings. </w:t>
      </w:r>
    </w:p>
    <w:p w:rsidR="00C04E16" w:rsidRPr="00C04E16" w:rsidRDefault="00C04E16" w:rsidP="00C04E16">
      <w:pPr>
        <w:pStyle w:val="Heading1"/>
        <w:spacing w:line="276" w:lineRule="auto"/>
        <w:rPr>
          <w:sz w:val="22"/>
        </w:rPr>
      </w:pPr>
      <w:r w:rsidRPr="00C04E16">
        <w:rPr>
          <w:sz w:val="22"/>
        </w:rPr>
        <w:t xml:space="preserve">Data analysis </w:t>
      </w:r>
    </w:p>
    <w:p w:rsidR="00C04E16" w:rsidRPr="00C04E16" w:rsidRDefault="00C04E16" w:rsidP="00C04E16">
      <w:pPr>
        <w:spacing w:after="331" w:line="276" w:lineRule="auto"/>
        <w:ind w:left="376" w:hanging="360"/>
        <w:rPr>
          <w:sz w:val="22"/>
        </w:rPr>
      </w:pPr>
      <w:r w:rsidRPr="00C04E16">
        <w:rPr>
          <w:rFonts w:ascii="Segoe UI Symbol" w:eastAsia="Segoe UI Symbol" w:hAnsi="Segoe UI Symbol" w:cs="Segoe UI Symbol"/>
          <w:sz w:val="22"/>
        </w:rPr>
        <w:t>•</w:t>
      </w:r>
      <w:r w:rsidRPr="00C04E16">
        <w:rPr>
          <w:rFonts w:ascii="Arial" w:eastAsia="Arial" w:hAnsi="Arial" w:cs="Arial"/>
          <w:sz w:val="22"/>
        </w:rPr>
        <w:t xml:space="preserve"> </w:t>
      </w:r>
      <w:r w:rsidRPr="00C04E16">
        <w:rPr>
          <w:sz w:val="22"/>
        </w:rPr>
        <w:t xml:space="preserve">Data will be transferred to an excel sheet and analyzed using SPSS version 26. To determine the reliability of the questionnaire, factor analysis. Item factor loadings, </w:t>
      </w:r>
      <w:proofErr w:type="spellStart"/>
      <w:r w:rsidRPr="00C04E16">
        <w:rPr>
          <w:sz w:val="22"/>
        </w:rPr>
        <w:t>intraclass</w:t>
      </w:r>
      <w:proofErr w:type="spellEnd"/>
      <w:r w:rsidRPr="00C04E16">
        <w:rPr>
          <w:sz w:val="22"/>
        </w:rPr>
        <w:t xml:space="preserve"> correlations (ICCs), design effects, internal consistency reliabilities, and multilevel confirmatory factor analyses (MCFA) will be examined as well as </w:t>
      </w:r>
      <w:proofErr w:type="spellStart"/>
      <w:r w:rsidRPr="00C04E16">
        <w:rPr>
          <w:sz w:val="22"/>
        </w:rPr>
        <w:t>intercorrelations</w:t>
      </w:r>
      <w:proofErr w:type="spellEnd"/>
      <w:r w:rsidRPr="00C04E16">
        <w:rPr>
          <w:sz w:val="22"/>
        </w:rPr>
        <w:t xml:space="preserve"> among the survey's composites to ascertain if composites operated similarly at the individual, unit, and hospital levels of analysis.   </w:t>
      </w:r>
    </w:p>
    <w:p w:rsidR="00C04E16" w:rsidRPr="00C04E16" w:rsidRDefault="00C04E16" w:rsidP="00C04E16">
      <w:pPr>
        <w:spacing w:after="337" w:line="276" w:lineRule="auto"/>
        <w:ind w:left="31" w:firstLine="0"/>
        <w:jc w:val="left"/>
        <w:rPr>
          <w:b/>
          <w:sz w:val="22"/>
        </w:rPr>
      </w:pPr>
      <w:r w:rsidRPr="00C04E16">
        <w:rPr>
          <w:sz w:val="22"/>
        </w:rPr>
        <w:t xml:space="preserve"> </w:t>
      </w:r>
      <w:r w:rsidRPr="00C04E16">
        <w:rPr>
          <w:b/>
          <w:sz w:val="22"/>
        </w:rPr>
        <w:t xml:space="preserve">References </w:t>
      </w:r>
    </w:p>
    <w:p w:rsidR="00C04E16" w:rsidRPr="00C04E16" w:rsidRDefault="00C04E16" w:rsidP="00C04E16">
      <w:pPr>
        <w:numPr>
          <w:ilvl w:val="0"/>
          <w:numId w:val="5"/>
        </w:numPr>
        <w:spacing w:after="38" w:line="276" w:lineRule="auto"/>
        <w:jc w:val="left"/>
        <w:rPr>
          <w:sz w:val="22"/>
        </w:rPr>
      </w:pPr>
      <w:r w:rsidRPr="00C04E16">
        <w:rPr>
          <w:sz w:val="22"/>
        </w:rPr>
        <w:t xml:space="preserve">Mitchell PH. Defining Patient Safety and Quality Care. In: Hughes RG, editor. Patient Safety and Quality: An Evidence-Based Handbook for Nurses. Rockville (MD): Agency for Healthcare Research and Quality (US); 2008 Apr. Chapter 1. Available from: </w:t>
      </w:r>
    </w:p>
    <w:p w:rsidR="00C04E16" w:rsidRPr="00C04E16" w:rsidRDefault="00C04E16" w:rsidP="00C04E16">
      <w:pPr>
        <w:spacing w:line="276" w:lineRule="auto"/>
        <w:rPr>
          <w:sz w:val="22"/>
        </w:rPr>
      </w:pPr>
      <w:r w:rsidRPr="00C04E16">
        <w:rPr>
          <w:sz w:val="22"/>
        </w:rPr>
        <w:t xml:space="preserve">http://www.ncbi.nlm.nih.gov/books/NBK2681/  </w:t>
      </w:r>
    </w:p>
    <w:p w:rsidR="00C04E16" w:rsidRPr="00C04E16" w:rsidRDefault="00C04E16" w:rsidP="00C04E16">
      <w:pPr>
        <w:numPr>
          <w:ilvl w:val="0"/>
          <w:numId w:val="5"/>
        </w:numPr>
        <w:spacing w:line="276" w:lineRule="auto"/>
        <w:jc w:val="left"/>
        <w:rPr>
          <w:sz w:val="22"/>
        </w:rPr>
      </w:pPr>
      <w:r w:rsidRPr="00C04E16">
        <w:rPr>
          <w:sz w:val="22"/>
        </w:rPr>
        <w:t>WHO, 2021. Patient Safety Fact File. World Health Organization, Geneva. Available at;</w:t>
      </w:r>
      <w:r w:rsidRPr="00C04E16">
        <w:rPr>
          <w:rFonts w:ascii="Calibri" w:eastAsia="Calibri" w:hAnsi="Calibri" w:cs="Calibri"/>
          <w:sz w:val="22"/>
        </w:rPr>
        <w:t xml:space="preserve"> </w:t>
      </w:r>
      <w:r w:rsidRPr="00C04E16">
        <w:rPr>
          <w:sz w:val="22"/>
        </w:rPr>
        <w:t xml:space="preserve">https://www.who.int/features/factfiles/patient_safety/patient-safety-fact-file.pdf   </w:t>
      </w:r>
    </w:p>
    <w:p w:rsidR="00C04E16" w:rsidRPr="00C04E16" w:rsidRDefault="00C04E16" w:rsidP="00C04E16">
      <w:pPr>
        <w:numPr>
          <w:ilvl w:val="0"/>
          <w:numId w:val="5"/>
        </w:numPr>
        <w:spacing w:after="40" w:line="276" w:lineRule="auto"/>
        <w:jc w:val="left"/>
        <w:rPr>
          <w:sz w:val="22"/>
        </w:rPr>
      </w:pPr>
      <w:proofErr w:type="spellStart"/>
      <w:r w:rsidRPr="00C04E16">
        <w:rPr>
          <w:sz w:val="22"/>
        </w:rPr>
        <w:t>Perea</w:t>
      </w:r>
      <w:proofErr w:type="spellEnd"/>
      <w:r w:rsidRPr="00C04E16">
        <w:rPr>
          <w:sz w:val="22"/>
        </w:rPr>
        <w:t xml:space="preserve">-Pérez B, </w:t>
      </w:r>
      <w:proofErr w:type="spellStart"/>
      <w:r w:rsidRPr="00C04E16">
        <w:rPr>
          <w:sz w:val="22"/>
        </w:rPr>
        <w:t>Labajo</w:t>
      </w:r>
      <w:proofErr w:type="spellEnd"/>
      <w:r w:rsidRPr="00C04E16">
        <w:rPr>
          <w:sz w:val="22"/>
        </w:rPr>
        <w:t xml:space="preserve">-González E, </w:t>
      </w:r>
      <w:proofErr w:type="spellStart"/>
      <w:r w:rsidRPr="00C04E16">
        <w:rPr>
          <w:sz w:val="22"/>
        </w:rPr>
        <w:t>Bratos</w:t>
      </w:r>
      <w:proofErr w:type="spellEnd"/>
      <w:r w:rsidRPr="00C04E16">
        <w:rPr>
          <w:sz w:val="22"/>
        </w:rPr>
        <w:t>-Murillo M, Santiago-</w:t>
      </w:r>
      <w:proofErr w:type="spellStart"/>
      <w:r w:rsidRPr="00C04E16">
        <w:rPr>
          <w:sz w:val="22"/>
        </w:rPr>
        <w:t>Sáez</w:t>
      </w:r>
      <w:proofErr w:type="spellEnd"/>
      <w:r w:rsidRPr="00C04E16">
        <w:rPr>
          <w:sz w:val="22"/>
        </w:rPr>
        <w:t xml:space="preserve"> A, </w:t>
      </w:r>
      <w:proofErr w:type="spellStart"/>
      <w:r w:rsidRPr="00C04E16">
        <w:rPr>
          <w:sz w:val="22"/>
        </w:rPr>
        <w:t>Albarrán</w:t>
      </w:r>
      <w:proofErr w:type="spellEnd"/>
      <w:r w:rsidRPr="00C04E16">
        <w:rPr>
          <w:sz w:val="22"/>
        </w:rPr>
        <w:t xml:space="preserve">-Juan E, Villa-Vigil A. The clinical safety of disabled patients: Proposal for a methodology </w:t>
      </w:r>
      <w:proofErr w:type="gramStart"/>
      <w:r w:rsidRPr="00C04E16">
        <w:rPr>
          <w:sz w:val="22"/>
        </w:rPr>
        <w:t>for  analysis</w:t>
      </w:r>
      <w:proofErr w:type="gramEnd"/>
      <w:r w:rsidRPr="00C04E16">
        <w:rPr>
          <w:sz w:val="22"/>
        </w:rPr>
        <w:t xml:space="preserve"> of health care risks and specific measures for improvement. Med Oral </w:t>
      </w:r>
      <w:proofErr w:type="spellStart"/>
      <w:r w:rsidRPr="00C04E16">
        <w:rPr>
          <w:sz w:val="22"/>
        </w:rPr>
        <w:t>Patol</w:t>
      </w:r>
      <w:proofErr w:type="spellEnd"/>
      <w:r w:rsidRPr="00C04E16">
        <w:rPr>
          <w:sz w:val="22"/>
        </w:rPr>
        <w:t xml:space="preserve"> Oral Cir </w:t>
      </w:r>
      <w:proofErr w:type="spellStart"/>
      <w:r w:rsidRPr="00C04E16">
        <w:rPr>
          <w:sz w:val="22"/>
        </w:rPr>
        <w:t>Bucal</w:t>
      </w:r>
      <w:proofErr w:type="spellEnd"/>
      <w:r w:rsidRPr="00C04E16">
        <w:rPr>
          <w:sz w:val="22"/>
        </w:rPr>
        <w:t xml:space="preserve"> [Internet]. 2013 Mar [cited 2021 Nov 23]</w:t>
      </w:r>
      <w:proofErr w:type="gramStart"/>
      <w:r w:rsidRPr="00C04E16">
        <w:rPr>
          <w:sz w:val="22"/>
        </w:rPr>
        <w:t>;18</w:t>
      </w:r>
      <w:proofErr w:type="gramEnd"/>
      <w:r w:rsidRPr="00C04E16">
        <w:rPr>
          <w:sz w:val="22"/>
        </w:rPr>
        <w:t xml:space="preserve">(2):e251–6. Available from: </w:t>
      </w:r>
    </w:p>
    <w:p w:rsidR="00C04E16" w:rsidRPr="00C04E16" w:rsidRDefault="00C04E16" w:rsidP="00C04E16">
      <w:pPr>
        <w:spacing w:line="276" w:lineRule="auto"/>
        <w:rPr>
          <w:sz w:val="22"/>
        </w:rPr>
      </w:pPr>
      <w:r w:rsidRPr="00C04E16">
        <w:rPr>
          <w:sz w:val="22"/>
        </w:rPr>
        <w:t xml:space="preserve">https://www.ncbi.nlm.nih.gov/pmc/articles/PMC3613877/ </w:t>
      </w:r>
    </w:p>
    <w:p w:rsidR="00C04E16" w:rsidRPr="00C04E16" w:rsidRDefault="00C04E16" w:rsidP="00C04E16">
      <w:pPr>
        <w:numPr>
          <w:ilvl w:val="0"/>
          <w:numId w:val="5"/>
        </w:numPr>
        <w:spacing w:line="276" w:lineRule="auto"/>
        <w:jc w:val="left"/>
        <w:rPr>
          <w:sz w:val="22"/>
        </w:rPr>
      </w:pPr>
      <w:r w:rsidRPr="00C04E16">
        <w:rPr>
          <w:sz w:val="22"/>
        </w:rPr>
        <w:t xml:space="preserve">Medicine I of, America C on Q of HC in. To Err Is Human: Building a Safer Health System. National Academies Press; 2000. </w:t>
      </w:r>
      <w:proofErr w:type="gramStart"/>
      <w:r w:rsidRPr="00C04E16">
        <w:rPr>
          <w:sz w:val="22"/>
        </w:rPr>
        <w:t>p312 .</w:t>
      </w:r>
      <w:proofErr w:type="gramEnd"/>
      <w:r w:rsidRPr="00C04E16">
        <w:rPr>
          <w:sz w:val="22"/>
        </w:rPr>
        <w:t xml:space="preserve">  </w:t>
      </w:r>
    </w:p>
    <w:p w:rsidR="00C04E16" w:rsidRPr="00C04E16" w:rsidRDefault="00C04E16" w:rsidP="00C04E16">
      <w:pPr>
        <w:numPr>
          <w:ilvl w:val="0"/>
          <w:numId w:val="5"/>
        </w:numPr>
        <w:spacing w:line="276" w:lineRule="auto"/>
        <w:jc w:val="left"/>
        <w:rPr>
          <w:sz w:val="22"/>
        </w:rPr>
      </w:pPr>
      <w:r w:rsidRPr="00C04E16">
        <w:rPr>
          <w:sz w:val="22"/>
        </w:rPr>
        <w:t xml:space="preserve">Agency for health care research and quality (AHRQ). Patient safety tools and Resources. Accessed on November 23, 2021. Available at; https://www.ahrq.gov/.  </w:t>
      </w:r>
    </w:p>
    <w:p w:rsidR="00C04E16" w:rsidRPr="00C04E16" w:rsidRDefault="00C04E16" w:rsidP="00C04E16">
      <w:pPr>
        <w:numPr>
          <w:ilvl w:val="0"/>
          <w:numId w:val="5"/>
        </w:numPr>
        <w:spacing w:line="276" w:lineRule="auto"/>
        <w:jc w:val="left"/>
        <w:rPr>
          <w:sz w:val="22"/>
        </w:rPr>
      </w:pPr>
      <w:proofErr w:type="spellStart"/>
      <w:r w:rsidRPr="00C04E16">
        <w:rPr>
          <w:sz w:val="22"/>
        </w:rPr>
        <w:t>Seirawan</w:t>
      </w:r>
      <w:proofErr w:type="spellEnd"/>
      <w:r w:rsidRPr="00C04E16">
        <w:rPr>
          <w:sz w:val="22"/>
        </w:rPr>
        <w:t xml:space="preserve"> H, </w:t>
      </w:r>
      <w:proofErr w:type="spellStart"/>
      <w:r w:rsidRPr="00C04E16">
        <w:rPr>
          <w:sz w:val="22"/>
        </w:rPr>
        <w:t>Schneiderman</w:t>
      </w:r>
      <w:proofErr w:type="spellEnd"/>
      <w:r w:rsidRPr="00C04E16">
        <w:rPr>
          <w:sz w:val="22"/>
        </w:rPr>
        <w:t xml:space="preserve"> J, Greene V, Mulligan R. Interdisciplinary approach to oral health for persons with developmental disabilities. Spec Care Dent Off </w:t>
      </w:r>
      <w:proofErr w:type="spellStart"/>
      <w:r w:rsidRPr="00C04E16">
        <w:rPr>
          <w:sz w:val="22"/>
        </w:rPr>
        <w:t>Publ</w:t>
      </w:r>
      <w:proofErr w:type="spellEnd"/>
      <w:r w:rsidRPr="00C04E16">
        <w:rPr>
          <w:sz w:val="22"/>
        </w:rPr>
        <w:t xml:space="preserve"> Am </w:t>
      </w:r>
      <w:proofErr w:type="spellStart"/>
      <w:r w:rsidRPr="00C04E16">
        <w:rPr>
          <w:sz w:val="22"/>
        </w:rPr>
        <w:t>Assoc</w:t>
      </w:r>
      <w:proofErr w:type="spellEnd"/>
      <w:r w:rsidRPr="00C04E16">
        <w:rPr>
          <w:sz w:val="22"/>
        </w:rPr>
        <w:t xml:space="preserve"> </w:t>
      </w:r>
      <w:proofErr w:type="spellStart"/>
      <w:r w:rsidRPr="00C04E16">
        <w:rPr>
          <w:sz w:val="22"/>
        </w:rPr>
        <w:t>Hosp</w:t>
      </w:r>
      <w:proofErr w:type="spellEnd"/>
      <w:r w:rsidRPr="00C04E16">
        <w:rPr>
          <w:sz w:val="22"/>
        </w:rPr>
        <w:t xml:space="preserve"> Dent </w:t>
      </w:r>
      <w:proofErr w:type="spellStart"/>
      <w:r w:rsidRPr="00C04E16">
        <w:rPr>
          <w:sz w:val="22"/>
        </w:rPr>
        <w:t>Acad</w:t>
      </w:r>
      <w:proofErr w:type="spellEnd"/>
      <w:r w:rsidRPr="00C04E16">
        <w:rPr>
          <w:sz w:val="22"/>
        </w:rPr>
        <w:t xml:space="preserve"> Dent Handicap Am </w:t>
      </w:r>
      <w:proofErr w:type="spellStart"/>
      <w:r w:rsidRPr="00C04E16">
        <w:rPr>
          <w:sz w:val="22"/>
        </w:rPr>
        <w:t>Soc</w:t>
      </w:r>
      <w:proofErr w:type="spellEnd"/>
      <w:r w:rsidRPr="00C04E16">
        <w:rPr>
          <w:sz w:val="22"/>
        </w:rPr>
        <w:t xml:space="preserve"> </w:t>
      </w:r>
      <w:proofErr w:type="spellStart"/>
      <w:r w:rsidRPr="00C04E16">
        <w:rPr>
          <w:sz w:val="22"/>
        </w:rPr>
        <w:t>Geriatr</w:t>
      </w:r>
      <w:proofErr w:type="spellEnd"/>
      <w:r w:rsidRPr="00C04E16">
        <w:rPr>
          <w:sz w:val="22"/>
        </w:rPr>
        <w:t xml:space="preserve"> Dent. 2008 Apr</w:t>
      </w:r>
      <w:proofErr w:type="gramStart"/>
      <w:r w:rsidRPr="00C04E16">
        <w:rPr>
          <w:sz w:val="22"/>
        </w:rPr>
        <w:t>;28</w:t>
      </w:r>
      <w:proofErr w:type="gramEnd"/>
      <w:r w:rsidRPr="00C04E16">
        <w:rPr>
          <w:sz w:val="22"/>
        </w:rPr>
        <w:t xml:space="preserve">(2):43–52.  </w:t>
      </w:r>
    </w:p>
    <w:p w:rsidR="00C04E16" w:rsidRPr="00C04E16" w:rsidRDefault="00C04E16" w:rsidP="00C04E16">
      <w:pPr>
        <w:numPr>
          <w:ilvl w:val="0"/>
          <w:numId w:val="5"/>
        </w:numPr>
        <w:spacing w:line="276" w:lineRule="auto"/>
        <w:jc w:val="left"/>
        <w:rPr>
          <w:sz w:val="22"/>
        </w:rPr>
      </w:pPr>
      <w:r w:rsidRPr="00C04E16">
        <w:rPr>
          <w:sz w:val="22"/>
        </w:rPr>
        <w:t xml:space="preserve">Vieira ER, </w:t>
      </w:r>
      <w:proofErr w:type="spellStart"/>
      <w:r w:rsidRPr="00C04E16">
        <w:rPr>
          <w:sz w:val="22"/>
        </w:rPr>
        <w:t>Berean</w:t>
      </w:r>
      <w:proofErr w:type="spellEnd"/>
      <w:r w:rsidRPr="00C04E16">
        <w:rPr>
          <w:sz w:val="22"/>
        </w:rPr>
        <w:t xml:space="preserve"> C, </w:t>
      </w:r>
      <w:proofErr w:type="spellStart"/>
      <w:r w:rsidRPr="00C04E16">
        <w:rPr>
          <w:sz w:val="22"/>
        </w:rPr>
        <w:t>Paches</w:t>
      </w:r>
      <w:proofErr w:type="spellEnd"/>
      <w:r w:rsidRPr="00C04E16">
        <w:rPr>
          <w:sz w:val="22"/>
        </w:rPr>
        <w:t xml:space="preserve"> D, Costa L, </w:t>
      </w:r>
      <w:proofErr w:type="spellStart"/>
      <w:r w:rsidRPr="00C04E16">
        <w:rPr>
          <w:sz w:val="22"/>
        </w:rPr>
        <w:t>Décombas-Deschamps</w:t>
      </w:r>
      <w:proofErr w:type="spellEnd"/>
      <w:r w:rsidRPr="00C04E16">
        <w:rPr>
          <w:sz w:val="22"/>
        </w:rPr>
        <w:t xml:space="preserve"> N, </w:t>
      </w:r>
      <w:proofErr w:type="spellStart"/>
      <w:r w:rsidRPr="00C04E16">
        <w:rPr>
          <w:sz w:val="22"/>
        </w:rPr>
        <w:t>Caveny</w:t>
      </w:r>
      <w:proofErr w:type="spellEnd"/>
      <w:r w:rsidRPr="00C04E16">
        <w:rPr>
          <w:sz w:val="22"/>
        </w:rPr>
        <w:t xml:space="preserve"> P, et al. Risks and suggestions to prevent falls in geriatric rehabilitation: a participatory approach. BMJ </w:t>
      </w:r>
      <w:proofErr w:type="spellStart"/>
      <w:r w:rsidRPr="00C04E16">
        <w:rPr>
          <w:sz w:val="22"/>
        </w:rPr>
        <w:t>Qual</w:t>
      </w:r>
      <w:proofErr w:type="spellEnd"/>
      <w:r w:rsidRPr="00C04E16">
        <w:rPr>
          <w:sz w:val="22"/>
        </w:rPr>
        <w:t xml:space="preserve"> </w:t>
      </w:r>
      <w:proofErr w:type="spellStart"/>
      <w:r w:rsidRPr="00C04E16">
        <w:rPr>
          <w:sz w:val="22"/>
        </w:rPr>
        <w:t>Saf</w:t>
      </w:r>
      <w:proofErr w:type="spellEnd"/>
      <w:r w:rsidRPr="00C04E16">
        <w:rPr>
          <w:sz w:val="22"/>
        </w:rPr>
        <w:t>. 2011 May</w:t>
      </w:r>
      <w:proofErr w:type="gramStart"/>
      <w:r w:rsidRPr="00C04E16">
        <w:rPr>
          <w:sz w:val="22"/>
        </w:rPr>
        <w:t>;20</w:t>
      </w:r>
      <w:proofErr w:type="gramEnd"/>
      <w:r w:rsidRPr="00C04E16">
        <w:rPr>
          <w:sz w:val="22"/>
        </w:rPr>
        <w:t xml:space="preserve">(5):440–8.  </w:t>
      </w:r>
    </w:p>
    <w:p w:rsidR="00904243" w:rsidRPr="00C04E16" w:rsidRDefault="00C04E16" w:rsidP="00C04E16">
      <w:pPr>
        <w:numPr>
          <w:ilvl w:val="0"/>
          <w:numId w:val="5"/>
        </w:numPr>
        <w:spacing w:line="276" w:lineRule="auto"/>
        <w:jc w:val="left"/>
        <w:rPr>
          <w:sz w:val="22"/>
        </w:rPr>
      </w:pPr>
      <w:r w:rsidRPr="00C04E16">
        <w:rPr>
          <w:sz w:val="22"/>
        </w:rPr>
        <w:t>Herrera-</w:t>
      </w:r>
      <w:proofErr w:type="spellStart"/>
      <w:r w:rsidRPr="00C04E16">
        <w:rPr>
          <w:sz w:val="22"/>
        </w:rPr>
        <w:t>Castanedo</w:t>
      </w:r>
      <w:proofErr w:type="spellEnd"/>
      <w:r w:rsidRPr="00C04E16">
        <w:rPr>
          <w:sz w:val="22"/>
        </w:rPr>
        <w:t xml:space="preserve"> S, </w:t>
      </w:r>
      <w:proofErr w:type="spellStart"/>
      <w:r w:rsidRPr="00C04E16">
        <w:rPr>
          <w:sz w:val="22"/>
        </w:rPr>
        <w:t>Vázquez-Barquero</w:t>
      </w:r>
      <w:proofErr w:type="spellEnd"/>
      <w:r w:rsidRPr="00C04E16">
        <w:rPr>
          <w:sz w:val="22"/>
        </w:rPr>
        <w:t xml:space="preserve"> JL, </w:t>
      </w:r>
      <w:proofErr w:type="spellStart"/>
      <w:r w:rsidRPr="00C04E16">
        <w:rPr>
          <w:sz w:val="22"/>
        </w:rPr>
        <w:t>Gaite</w:t>
      </w:r>
      <w:proofErr w:type="spellEnd"/>
      <w:r w:rsidRPr="00C04E16">
        <w:rPr>
          <w:sz w:val="22"/>
        </w:rPr>
        <w:t xml:space="preserve"> </w:t>
      </w:r>
      <w:proofErr w:type="spellStart"/>
      <w:r w:rsidRPr="00C04E16">
        <w:rPr>
          <w:sz w:val="22"/>
        </w:rPr>
        <w:t>Pindado</w:t>
      </w:r>
      <w:proofErr w:type="spellEnd"/>
      <w:r w:rsidRPr="00C04E16">
        <w:rPr>
          <w:sz w:val="22"/>
        </w:rPr>
        <w:t xml:space="preserve"> L. La </w:t>
      </w:r>
      <w:proofErr w:type="spellStart"/>
      <w:r w:rsidRPr="00C04E16">
        <w:rPr>
          <w:sz w:val="22"/>
        </w:rPr>
        <w:t>Clasificación</w:t>
      </w:r>
      <w:proofErr w:type="spellEnd"/>
      <w:r w:rsidRPr="00C04E16">
        <w:rPr>
          <w:sz w:val="22"/>
        </w:rPr>
        <w:t xml:space="preserve"> </w:t>
      </w:r>
      <w:proofErr w:type="spellStart"/>
      <w:r w:rsidRPr="00C04E16">
        <w:rPr>
          <w:sz w:val="22"/>
        </w:rPr>
        <w:t>Internacional</w:t>
      </w:r>
      <w:proofErr w:type="spellEnd"/>
      <w:r w:rsidRPr="00C04E16">
        <w:rPr>
          <w:sz w:val="22"/>
        </w:rPr>
        <w:t xml:space="preserve"> del </w:t>
      </w:r>
      <w:proofErr w:type="spellStart"/>
      <w:r w:rsidRPr="00C04E16">
        <w:rPr>
          <w:sz w:val="22"/>
        </w:rPr>
        <w:t>Funcionamiento</w:t>
      </w:r>
      <w:proofErr w:type="spellEnd"/>
      <w:r w:rsidRPr="00C04E16">
        <w:rPr>
          <w:sz w:val="22"/>
        </w:rPr>
        <w:t xml:space="preserve">, de la </w:t>
      </w:r>
      <w:proofErr w:type="spellStart"/>
      <w:r w:rsidRPr="00C04E16">
        <w:rPr>
          <w:sz w:val="22"/>
        </w:rPr>
        <w:t>Discapacidad</w:t>
      </w:r>
      <w:proofErr w:type="spellEnd"/>
      <w:r w:rsidRPr="00C04E16">
        <w:rPr>
          <w:sz w:val="22"/>
        </w:rPr>
        <w:t xml:space="preserve"> y de la </w:t>
      </w:r>
      <w:proofErr w:type="spellStart"/>
      <w:r w:rsidRPr="00C04E16">
        <w:rPr>
          <w:sz w:val="22"/>
        </w:rPr>
        <w:t>Salud</w:t>
      </w:r>
      <w:proofErr w:type="spellEnd"/>
      <w:r w:rsidRPr="00C04E16">
        <w:rPr>
          <w:sz w:val="22"/>
        </w:rPr>
        <w:t xml:space="preserve"> (CIF). </w:t>
      </w:r>
      <w:proofErr w:type="spellStart"/>
      <w:r w:rsidRPr="00C04E16">
        <w:rPr>
          <w:sz w:val="22"/>
        </w:rPr>
        <w:t>Rehabilitación</w:t>
      </w:r>
      <w:proofErr w:type="spellEnd"/>
      <w:r w:rsidRPr="00C04E16">
        <w:rPr>
          <w:sz w:val="22"/>
        </w:rPr>
        <w:t xml:space="preserve"> [Internet]. 2008 Dec [cited 2021 Nov 23]</w:t>
      </w:r>
      <w:proofErr w:type="gramStart"/>
      <w:r w:rsidRPr="00C04E16">
        <w:rPr>
          <w:sz w:val="22"/>
        </w:rPr>
        <w:t>;42</w:t>
      </w:r>
      <w:proofErr w:type="gramEnd"/>
      <w:r w:rsidRPr="00C04E16">
        <w:rPr>
          <w:sz w:val="22"/>
        </w:rPr>
        <w:t xml:space="preserve">(6):269–75. Available from: https://linkinghub.elsevier.com/retrieve/pii/S0048712008756627 </w:t>
      </w:r>
    </w:p>
    <w:sectPr w:rsidR="00904243" w:rsidRPr="00C04E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8A1021"/>
    <w:multiLevelType w:val="hybridMultilevel"/>
    <w:tmpl w:val="D1205352"/>
    <w:lvl w:ilvl="0" w:tplc="D9CE4436">
      <w:start w:val="1"/>
      <w:numFmt w:val="bullet"/>
      <w:lvlText w:val="•"/>
      <w:lvlJc w:val="left"/>
      <w:pPr>
        <w:ind w:left="751"/>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5004FA72">
      <w:start w:val="1"/>
      <w:numFmt w:val="bullet"/>
      <w:lvlText w:val="o"/>
      <w:lvlJc w:val="left"/>
      <w:pPr>
        <w:ind w:left="147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96F00204">
      <w:start w:val="1"/>
      <w:numFmt w:val="bullet"/>
      <w:lvlText w:val="▪"/>
      <w:lvlJc w:val="left"/>
      <w:pPr>
        <w:ind w:left="219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AF5E3E3C">
      <w:start w:val="1"/>
      <w:numFmt w:val="bullet"/>
      <w:lvlText w:val="•"/>
      <w:lvlJc w:val="left"/>
      <w:pPr>
        <w:ind w:left="2911"/>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09347D6C">
      <w:start w:val="1"/>
      <w:numFmt w:val="bullet"/>
      <w:lvlText w:val="o"/>
      <w:lvlJc w:val="left"/>
      <w:pPr>
        <w:ind w:left="363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0ABE9966">
      <w:start w:val="1"/>
      <w:numFmt w:val="bullet"/>
      <w:lvlText w:val="▪"/>
      <w:lvlJc w:val="left"/>
      <w:pPr>
        <w:ind w:left="435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7B0CD718">
      <w:start w:val="1"/>
      <w:numFmt w:val="bullet"/>
      <w:lvlText w:val="•"/>
      <w:lvlJc w:val="left"/>
      <w:pPr>
        <w:ind w:left="5071"/>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2F78955E">
      <w:start w:val="1"/>
      <w:numFmt w:val="bullet"/>
      <w:lvlText w:val="o"/>
      <w:lvlJc w:val="left"/>
      <w:pPr>
        <w:ind w:left="579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AAA05A22">
      <w:start w:val="1"/>
      <w:numFmt w:val="bullet"/>
      <w:lvlText w:val="▪"/>
      <w:lvlJc w:val="left"/>
      <w:pPr>
        <w:ind w:left="651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
    <w:nsid w:val="1D7A04CA"/>
    <w:multiLevelType w:val="hybridMultilevel"/>
    <w:tmpl w:val="F48E9B8A"/>
    <w:lvl w:ilvl="0" w:tplc="A0DCBB36">
      <w:start w:val="1"/>
      <w:numFmt w:val="decimal"/>
      <w:lvlText w:val="%1."/>
      <w:lvlJc w:val="left"/>
      <w:pPr>
        <w:ind w:left="75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F0AC7BC">
      <w:start w:val="1"/>
      <w:numFmt w:val="lowerLetter"/>
      <w:lvlText w:val="%2"/>
      <w:lvlJc w:val="left"/>
      <w:pPr>
        <w:ind w:left="147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1BA6660">
      <w:start w:val="1"/>
      <w:numFmt w:val="lowerRoman"/>
      <w:lvlText w:val="%3"/>
      <w:lvlJc w:val="left"/>
      <w:pPr>
        <w:ind w:left="219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9927524">
      <w:start w:val="1"/>
      <w:numFmt w:val="decimal"/>
      <w:lvlText w:val="%4"/>
      <w:lvlJc w:val="left"/>
      <w:pPr>
        <w:ind w:left="291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496679C">
      <w:start w:val="1"/>
      <w:numFmt w:val="lowerLetter"/>
      <w:lvlText w:val="%5"/>
      <w:lvlJc w:val="left"/>
      <w:pPr>
        <w:ind w:left="363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3E493DC">
      <w:start w:val="1"/>
      <w:numFmt w:val="lowerRoman"/>
      <w:lvlText w:val="%6"/>
      <w:lvlJc w:val="left"/>
      <w:pPr>
        <w:ind w:left="435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DC0C95C">
      <w:start w:val="1"/>
      <w:numFmt w:val="decimal"/>
      <w:lvlText w:val="%7"/>
      <w:lvlJc w:val="left"/>
      <w:pPr>
        <w:ind w:left="507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52A7CF6">
      <w:start w:val="1"/>
      <w:numFmt w:val="lowerLetter"/>
      <w:lvlText w:val="%8"/>
      <w:lvlJc w:val="left"/>
      <w:pPr>
        <w:ind w:left="579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5965996">
      <w:start w:val="1"/>
      <w:numFmt w:val="lowerRoman"/>
      <w:lvlText w:val="%9"/>
      <w:lvlJc w:val="left"/>
      <w:pPr>
        <w:ind w:left="651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
    <w:nsid w:val="2F7319CB"/>
    <w:multiLevelType w:val="hybridMultilevel"/>
    <w:tmpl w:val="8608452E"/>
    <w:lvl w:ilvl="0" w:tplc="4ECEC67A">
      <w:start w:val="1"/>
      <w:numFmt w:val="bullet"/>
      <w:lvlText w:val="•"/>
      <w:lvlJc w:val="left"/>
      <w:pPr>
        <w:ind w:left="37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DB502C1E">
      <w:start w:val="1"/>
      <w:numFmt w:val="bullet"/>
      <w:lvlText w:val="o"/>
      <w:lvlJc w:val="left"/>
      <w:pPr>
        <w:ind w:left="109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F06C1AA8">
      <w:start w:val="1"/>
      <w:numFmt w:val="bullet"/>
      <w:lvlText w:val="▪"/>
      <w:lvlJc w:val="left"/>
      <w:pPr>
        <w:ind w:left="181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209A0B16">
      <w:start w:val="1"/>
      <w:numFmt w:val="bullet"/>
      <w:lvlText w:val="•"/>
      <w:lvlJc w:val="left"/>
      <w:pPr>
        <w:ind w:left="253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94A4DF4A">
      <w:start w:val="1"/>
      <w:numFmt w:val="bullet"/>
      <w:lvlText w:val="o"/>
      <w:lvlJc w:val="left"/>
      <w:pPr>
        <w:ind w:left="325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C9B48168">
      <w:start w:val="1"/>
      <w:numFmt w:val="bullet"/>
      <w:lvlText w:val="▪"/>
      <w:lvlJc w:val="left"/>
      <w:pPr>
        <w:ind w:left="397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EC12FEF8">
      <w:start w:val="1"/>
      <w:numFmt w:val="bullet"/>
      <w:lvlText w:val="•"/>
      <w:lvlJc w:val="left"/>
      <w:pPr>
        <w:ind w:left="469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FE1C4226">
      <w:start w:val="1"/>
      <w:numFmt w:val="bullet"/>
      <w:lvlText w:val="o"/>
      <w:lvlJc w:val="left"/>
      <w:pPr>
        <w:ind w:left="541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01766964">
      <w:start w:val="1"/>
      <w:numFmt w:val="bullet"/>
      <w:lvlText w:val="▪"/>
      <w:lvlJc w:val="left"/>
      <w:pPr>
        <w:ind w:left="613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3">
    <w:nsid w:val="5902794A"/>
    <w:multiLevelType w:val="hybridMultilevel"/>
    <w:tmpl w:val="C270C824"/>
    <w:lvl w:ilvl="0" w:tplc="999C6416">
      <w:start w:val="1"/>
      <w:numFmt w:val="bullet"/>
      <w:lvlText w:val="•"/>
      <w:lvlJc w:val="left"/>
      <w:pPr>
        <w:ind w:left="37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38A814FE">
      <w:start w:val="1"/>
      <w:numFmt w:val="bullet"/>
      <w:lvlText w:val="o"/>
      <w:lvlJc w:val="left"/>
      <w:pPr>
        <w:ind w:left="109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C8783ECC">
      <w:start w:val="1"/>
      <w:numFmt w:val="bullet"/>
      <w:lvlText w:val="▪"/>
      <w:lvlJc w:val="left"/>
      <w:pPr>
        <w:ind w:left="181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61989FB0">
      <w:start w:val="1"/>
      <w:numFmt w:val="bullet"/>
      <w:lvlText w:val="•"/>
      <w:lvlJc w:val="left"/>
      <w:pPr>
        <w:ind w:left="253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A6C2E910">
      <w:start w:val="1"/>
      <w:numFmt w:val="bullet"/>
      <w:lvlText w:val="o"/>
      <w:lvlJc w:val="left"/>
      <w:pPr>
        <w:ind w:left="325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9B8014C2">
      <w:start w:val="1"/>
      <w:numFmt w:val="bullet"/>
      <w:lvlText w:val="▪"/>
      <w:lvlJc w:val="left"/>
      <w:pPr>
        <w:ind w:left="397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D0969560">
      <w:start w:val="1"/>
      <w:numFmt w:val="bullet"/>
      <w:lvlText w:val="•"/>
      <w:lvlJc w:val="left"/>
      <w:pPr>
        <w:ind w:left="469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09DEEB0C">
      <w:start w:val="1"/>
      <w:numFmt w:val="bullet"/>
      <w:lvlText w:val="o"/>
      <w:lvlJc w:val="left"/>
      <w:pPr>
        <w:ind w:left="541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D36ED27E">
      <w:start w:val="1"/>
      <w:numFmt w:val="bullet"/>
      <w:lvlText w:val="▪"/>
      <w:lvlJc w:val="left"/>
      <w:pPr>
        <w:ind w:left="6136"/>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4">
    <w:nsid w:val="71A630DE"/>
    <w:multiLevelType w:val="hybridMultilevel"/>
    <w:tmpl w:val="F1FE5660"/>
    <w:lvl w:ilvl="0" w:tplc="3288E32A">
      <w:start w:val="1"/>
      <w:numFmt w:val="decimal"/>
      <w:lvlText w:val="%1."/>
      <w:lvlJc w:val="left"/>
      <w:pPr>
        <w:ind w:left="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508501E">
      <w:start w:val="1"/>
      <w:numFmt w:val="lowerLetter"/>
      <w:lvlText w:val="%2"/>
      <w:lvlJc w:val="left"/>
      <w:pPr>
        <w:ind w:left="109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5A23562">
      <w:start w:val="1"/>
      <w:numFmt w:val="lowerRoman"/>
      <w:lvlText w:val="%3"/>
      <w:lvlJc w:val="left"/>
      <w:pPr>
        <w:ind w:left="181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A3A1A02">
      <w:start w:val="1"/>
      <w:numFmt w:val="decimal"/>
      <w:lvlText w:val="%4"/>
      <w:lvlJc w:val="left"/>
      <w:pPr>
        <w:ind w:left="253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3A2302E">
      <w:start w:val="1"/>
      <w:numFmt w:val="lowerLetter"/>
      <w:lvlText w:val="%5"/>
      <w:lvlJc w:val="left"/>
      <w:pPr>
        <w:ind w:left="325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B6C1E2E">
      <w:start w:val="1"/>
      <w:numFmt w:val="lowerRoman"/>
      <w:lvlText w:val="%6"/>
      <w:lvlJc w:val="left"/>
      <w:pPr>
        <w:ind w:left="397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ECAA6D4">
      <w:start w:val="1"/>
      <w:numFmt w:val="decimal"/>
      <w:lvlText w:val="%7"/>
      <w:lvlJc w:val="left"/>
      <w:pPr>
        <w:ind w:left="469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5405DB0">
      <w:start w:val="1"/>
      <w:numFmt w:val="lowerLetter"/>
      <w:lvlText w:val="%8"/>
      <w:lvlJc w:val="left"/>
      <w:pPr>
        <w:ind w:left="541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4D80FD0">
      <w:start w:val="1"/>
      <w:numFmt w:val="lowerRoman"/>
      <w:lvlText w:val="%9"/>
      <w:lvlJc w:val="left"/>
      <w:pPr>
        <w:ind w:left="613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E16"/>
    <w:rsid w:val="005E3934"/>
    <w:rsid w:val="00A5382C"/>
    <w:rsid w:val="00C04E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FA3AFF-C726-4718-8AB1-7082840C0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4E16"/>
    <w:pPr>
      <w:spacing w:after="238" w:line="350" w:lineRule="auto"/>
      <w:ind w:left="26"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rsid w:val="00C04E16"/>
    <w:pPr>
      <w:keepNext/>
      <w:keepLines/>
      <w:spacing w:after="367" w:line="246" w:lineRule="auto"/>
      <w:ind w:left="26" w:right="-15"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E16"/>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1576</Words>
  <Characters>8987</Characters>
  <Application>Microsoft Office Word</Application>
  <DocSecurity>0</DocSecurity>
  <Lines>74</Lines>
  <Paragraphs>21</Paragraphs>
  <ScaleCrop>false</ScaleCrop>
  <Company/>
  <LinksUpToDate>false</LinksUpToDate>
  <CharactersWithSpaces>10542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GREENHOUSE VENTURES</dc:creator>
  <cp:keywords/>
  <dc:description/>
  <cp:lastModifiedBy>GREENHOUSE VENTURES</cp:lastModifiedBy>
  <cp:revision>1</cp:revision>
  <dcterms:created xsi:type="dcterms:W3CDTF">2022-07-31T03:29:00Z</dcterms:created>
  <dcterms:modified xsi:type="dcterms:W3CDTF">2022-07-31T03:32:00Z</dcterms:modified>
</cp:coreProperties>
</file>